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D94" w:rsidRPr="00525C3E" w:rsidRDefault="00866E0A" w:rsidP="00866E0A">
      <w:pPr>
        <w:pStyle w:val="Heading1"/>
        <w:numPr>
          <w:ilvl w:val="0"/>
          <w:numId w:val="0"/>
        </w:numPr>
        <w:spacing w:before="0" w:after="0"/>
        <w:jc w:val="center"/>
        <w:rPr>
          <w:rFonts w:ascii="Times New Roman Bold" w:hAnsi="Times New Roman Bold"/>
          <w:caps/>
          <w:sz w:val="24"/>
        </w:rPr>
      </w:pPr>
      <w:r w:rsidRPr="00525C3E">
        <w:rPr>
          <w:rFonts w:ascii="Times New Roman Bold" w:hAnsi="Times New Roman Bold"/>
          <w:caps/>
          <w:sz w:val="24"/>
        </w:rPr>
        <w:t>Case Law</w:t>
      </w:r>
      <w:r w:rsidR="00AA4834" w:rsidRPr="00525C3E">
        <w:rPr>
          <w:rFonts w:ascii="Times New Roman Bold" w:hAnsi="Times New Roman Bold"/>
          <w:caps/>
          <w:sz w:val="24"/>
        </w:rPr>
        <w:t xml:space="preserve"> AND </w:t>
      </w:r>
      <w:r w:rsidRPr="00525C3E">
        <w:rPr>
          <w:rFonts w:ascii="Times New Roman Bold" w:hAnsi="Times New Roman Bold"/>
          <w:caps/>
          <w:sz w:val="24"/>
        </w:rPr>
        <w:t>Emerging Issues</w:t>
      </w:r>
      <w:r w:rsidR="00AA4834" w:rsidRPr="00525C3E">
        <w:rPr>
          <w:rFonts w:ascii="Times New Roman Bold" w:hAnsi="Times New Roman Bold"/>
          <w:caps/>
          <w:sz w:val="24"/>
        </w:rPr>
        <w:t xml:space="preserve"> </w:t>
      </w:r>
      <w:r w:rsidRPr="00525C3E">
        <w:rPr>
          <w:rFonts w:ascii="Times New Roman Bold" w:hAnsi="Times New Roman Bold"/>
          <w:caps/>
          <w:sz w:val="24"/>
        </w:rPr>
        <w:t>After BAPCPA</w:t>
      </w:r>
      <w:r w:rsidR="00A917C0" w:rsidRPr="00525C3E">
        <w:rPr>
          <w:rFonts w:ascii="Times New Roman Bold" w:hAnsi="Times New Roman Bold"/>
          <w:caps/>
          <w:sz w:val="24"/>
        </w:rPr>
        <w:t>:</w:t>
      </w:r>
    </w:p>
    <w:p w:rsidR="00866E0A" w:rsidRPr="00525C3E" w:rsidRDefault="00DD3577" w:rsidP="00866E0A">
      <w:pPr>
        <w:pStyle w:val="Heading1"/>
        <w:numPr>
          <w:ilvl w:val="0"/>
          <w:numId w:val="0"/>
        </w:numPr>
        <w:spacing w:before="0" w:after="0"/>
        <w:jc w:val="center"/>
        <w:rPr>
          <w:rFonts w:ascii="Times New Roman Bold" w:hAnsi="Times New Roman Bold"/>
          <w:caps/>
          <w:sz w:val="24"/>
        </w:rPr>
      </w:pPr>
      <w:r w:rsidRPr="00525C3E">
        <w:rPr>
          <w:rFonts w:ascii="Times New Roman Bold" w:hAnsi="Times New Roman Bold"/>
          <w:caps/>
          <w:sz w:val="24"/>
        </w:rPr>
        <w:t xml:space="preserve">CALCULATION </w:t>
      </w:r>
      <w:r w:rsidR="00AA4834" w:rsidRPr="00525C3E">
        <w:rPr>
          <w:rFonts w:ascii="Times New Roman Bold" w:hAnsi="Times New Roman Bold"/>
          <w:caps/>
          <w:sz w:val="24"/>
        </w:rPr>
        <w:t>OF PROJECTED DISPOSABLE INCOME AND RELATED ISSUES IN CHAPTER 13</w:t>
      </w:r>
    </w:p>
    <w:p w:rsidR="00866E0A" w:rsidRPr="00525C3E" w:rsidRDefault="00866E0A" w:rsidP="00866E0A">
      <w:pPr>
        <w:jc w:val="center"/>
      </w:pPr>
    </w:p>
    <w:p w:rsidR="00866E0A" w:rsidRPr="00525C3E" w:rsidRDefault="00866E0A" w:rsidP="00866E0A">
      <w:pPr>
        <w:jc w:val="center"/>
        <w:rPr>
          <w:i/>
        </w:rPr>
      </w:pPr>
      <w:r w:rsidRPr="00525C3E">
        <w:rPr>
          <w:i/>
        </w:rPr>
        <w:t>Gilbert B. Weisman</w:t>
      </w:r>
    </w:p>
    <w:p w:rsidR="00866E0A" w:rsidRPr="00525C3E" w:rsidRDefault="00866E0A" w:rsidP="00866E0A">
      <w:pPr>
        <w:jc w:val="center"/>
        <w:rPr>
          <w:i/>
        </w:rPr>
      </w:pPr>
      <w:r w:rsidRPr="00525C3E">
        <w:rPr>
          <w:i/>
        </w:rPr>
        <w:t>Becket &amp; Lee LLP</w:t>
      </w:r>
    </w:p>
    <w:p w:rsidR="00866E0A" w:rsidRPr="00525C3E" w:rsidRDefault="00866E0A" w:rsidP="00866E0A">
      <w:pPr>
        <w:jc w:val="center"/>
        <w:rPr>
          <w:i/>
        </w:rPr>
      </w:pPr>
      <w:smartTag w:uri="urn:schemas-microsoft-com:office:smarttags" w:element="place">
        <w:smartTag w:uri="urn:schemas-microsoft-com:office:smarttags" w:element="City">
          <w:r w:rsidRPr="00525C3E">
            <w:rPr>
              <w:i/>
            </w:rPr>
            <w:t>Malvern</w:t>
          </w:r>
        </w:smartTag>
        <w:r w:rsidRPr="00525C3E">
          <w:rPr>
            <w:i/>
          </w:rPr>
          <w:t xml:space="preserve">, </w:t>
        </w:r>
        <w:smartTag w:uri="urn:schemas-microsoft-com:office:smarttags" w:element="State">
          <w:r w:rsidRPr="00525C3E">
            <w:rPr>
              <w:i/>
            </w:rPr>
            <w:t>Pennsylvania</w:t>
          </w:r>
        </w:smartTag>
      </w:smartTag>
    </w:p>
    <w:p w:rsidR="00866E0A" w:rsidRPr="00525C3E" w:rsidRDefault="00866E0A" w:rsidP="00866E0A">
      <w:pPr>
        <w:jc w:val="center"/>
        <w:rPr>
          <w:i/>
        </w:rPr>
      </w:pPr>
    </w:p>
    <w:p w:rsidR="00866E0A" w:rsidRPr="00525C3E" w:rsidRDefault="00866E0A" w:rsidP="00866E0A">
      <w:pPr>
        <w:jc w:val="center"/>
        <w:rPr>
          <w:i/>
        </w:rPr>
      </w:pPr>
      <w:r w:rsidRPr="00525C3E">
        <w:rPr>
          <w:i/>
        </w:rPr>
        <w:t>Materials prepared by:</w:t>
      </w:r>
    </w:p>
    <w:p w:rsidR="00866E0A" w:rsidRPr="00525C3E" w:rsidRDefault="00866E0A" w:rsidP="00866E0A">
      <w:pPr>
        <w:jc w:val="center"/>
        <w:rPr>
          <w:i/>
        </w:rPr>
      </w:pPr>
      <w:r w:rsidRPr="00525C3E">
        <w:rPr>
          <w:i/>
        </w:rPr>
        <w:t>Gilbert B. Weisman</w:t>
      </w:r>
    </w:p>
    <w:p w:rsidR="00866E0A" w:rsidRPr="00525C3E" w:rsidRDefault="00866E0A" w:rsidP="00866E0A">
      <w:pPr>
        <w:jc w:val="center"/>
        <w:rPr>
          <w:i/>
        </w:rPr>
      </w:pPr>
      <w:r w:rsidRPr="00525C3E">
        <w:rPr>
          <w:i/>
        </w:rPr>
        <w:t>William A. McNeal</w:t>
      </w:r>
    </w:p>
    <w:p w:rsidR="00391A35" w:rsidRPr="00525C3E" w:rsidRDefault="00391A35" w:rsidP="00866E0A">
      <w:pPr>
        <w:jc w:val="center"/>
        <w:rPr>
          <w:i/>
        </w:rPr>
      </w:pPr>
      <w:r w:rsidRPr="00525C3E">
        <w:rPr>
          <w:i/>
        </w:rPr>
        <w:t>Candice L. Marple</w:t>
      </w:r>
    </w:p>
    <w:p w:rsidR="00866E0A" w:rsidRPr="00525C3E" w:rsidRDefault="00866E0A" w:rsidP="00866E0A">
      <w:pPr>
        <w:jc w:val="center"/>
      </w:pPr>
    </w:p>
    <w:p w:rsidR="009834CB" w:rsidRPr="00525C3E" w:rsidRDefault="009834CB" w:rsidP="004B518C">
      <w:pPr>
        <w:pStyle w:val="Heading1"/>
        <w:numPr>
          <w:ilvl w:val="0"/>
          <w:numId w:val="7"/>
        </w:numPr>
        <w:rPr>
          <w:rFonts w:ascii="Times New Roman" w:hAnsi="Times New Roman"/>
          <w:sz w:val="24"/>
        </w:rPr>
      </w:pPr>
      <w:r w:rsidRPr="00525C3E">
        <w:rPr>
          <w:rFonts w:ascii="Times New Roman" w:hAnsi="Times New Roman"/>
          <w:sz w:val="24"/>
        </w:rPr>
        <w:t>CURRENT MONTHLY INCOME</w:t>
      </w:r>
    </w:p>
    <w:p w:rsidR="009834CB" w:rsidRPr="00525C3E" w:rsidRDefault="009834CB" w:rsidP="009834CB"/>
    <w:p w:rsidR="009834CB" w:rsidRPr="00525C3E" w:rsidRDefault="00751F53" w:rsidP="00751F53">
      <w:pPr>
        <w:numPr>
          <w:ilvl w:val="0"/>
          <w:numId w:val="16"/>
        </w:numPr>
        <w:rPr>
          <w:b/>
        </w:rPr>
      </w:pPr>
      <w:r w:rsidRPr="00525C3E">
        <w:rPr>
          <w:b/>
          <w:i/>
        </w:rPr>
        <w:t xml:space="preserve">Blausey v. </w:t>
      </w:r>
      <w:smartTag w:uri="urn:schemas-microsoft-com:office:smarttags" w:element="country-region">
        <w:smartTag w:uri="urn:schemas-microsoft-com:office:smarttags" w:element="place">
          <w:r w:rsidRPr="00525C3E">
            <w:rPr>
              <w:b/>
              <w:i/>
            </w:rPr>
            <w:t>U.S.</w:t>
          </w:r>
        </w:smartTag>
      </w:smartTag>
      <w:r w:rsidRPr="00525C3E">
        <w:rPr>
          <w:b/>
          <w:i/>
        </w:rPr>
        <w:t xml:space="preserve"> Trustee</w:t>
      </w:r>
      <w:r w:rsidRPr="00525C3E">
        <w:rPr>
          <w:b/>
        </w:rPr>
        <w:t xml:space="preserve">, </w:t>
      </w:r>
      <w:r w:rsidR="00CD0B01" w:rsidRPr="00525C3E">
        <w:rPr>
          <w:b/>
        </w:rPr>
        <w:t>552 F.3d 1124</w:t>
      </w:r>
      <w:r w:rsidRPr="00525C3E">
        <w:rPr>
          <w:b/>
        </w:rPr>
        <w:t xml:space="preserve"> (9th Cir. 2009).</w:t>
      </w:r>
    </w:p>
    <w:p w:rsidR="00751F53" w:rsidRPr="00525C3E" w:rsidRDefault="00751F53" w:rsidP="00751F53">
      <w:pPr>
        <w:ind w:left="720"/>
        <w:rPr>
          <w:b/>
        </w:rPr>
      </w:pPr>
    </w:p>
    <w:p w:rsidR="00B91987" w:rsidRPr="00525C3E" w:rsidRDefault="00751F53" w:rsidP="00B91987">
      <w:pPr>
        <w:ind w:firstLine="720"/>
      </w:pPr>
      <w:r w:rsidRPr="00525C3E">
        <w:t>The Debtor wife’s receipt of $4,000 per month in disability insurance benefits from a private insurer should have been included in current monthly income</w:t>
      </w:r>
      <w:r w:rsidR="00DD4E7B" w:rsidRPr="00525C3E">
        <w:t xml:space="preserve"> (CMI)</w:t>
      </w:r>
      <w:r w:rsidRPr="00525C3E">
        <w:t>.  The Court rejected the Debtors</w:t>
      </w:r>
      <w:r w:rsidR="00496A47" w:rsidRPr="00525C3E">
        <w:t>’</w:t>
      </w:r>
      <w:r w:rsidRPr="00525C3E">
        <w:t xml:space="preserve"> argument that “income” in the definition of CMI should be interpreted as consistent with “gross income” as defined in the Internal Revenue Code.  The </w:t>
      </w:r>
      <w:r w:rsidR="00496A47" w:rsidRPr="00525C3E">
        <w:t>l</w:t>
      </w:r>
      <w:r w:rsidRPr="00525C3E">
        <w:t xml:space="preserve">anguage </w:t>
      </w:r>
      <w:r w:rsidR="00496A47" w:rsidRPr="00525C3E">
        <w:t>of</w:t>
      </w:r>
      <w:r w:rsidRPr="00525C3E">
        <w:t xml:space="preserve"> §</w:t>
      </w:r>
      <w:r w:rsidR="003C19DC" w:rsidRPr="00525C3E">
        <w:t xml:space="preserve"> </w:t>
      </w:r>
      <w:r w:rsidRPr="00525C3E">
        <w:t>101(10A)(A)</w:t>
      </w:r>
      <w:r w:rsidR="00496A47" w:rsidRPr="00525C3E">
        <w:t xml:space="preserve"> provides “without regard to whether such income is taxable income,” and clearly indicates that the Internal Revenue Code’s method of determining taxable income is not applicable to the Bankruptcy Code’s calculation of CMI.  Furthermore, the statute expressly excludes certain payments but does</w:t>
      </w:r>
      <w:r w:rsidR="009219EB" w:rsidRPr="00525C3E">
        <w:t xml:space="preserve"> not</w:t>
      </w:r>
      <w:r w:rsidR="00496A47" w:rsidRPr="00525C3E">
        <w:t xml:space="preserve"> specifically exclude private disability insurance benefits.  The purpose of the payments is replacement of the Debtor wife’s income due to her disability, and exclusion of these payments from CMI would be inconsistent with the purpose of the means test.</w:t>
      </w:r>
    </w:p>
    <w:p w:rsidR="00B91987" w:rsidRPr="00525C3E" w:rsidRDefault="00B91987" w:rsidP="00B91987">
      <w:pPr>
        <w:ind w:firstLine="720"/>
      </w:pPr>
    </w:p>
    <w:p w:rsidR="00B91987" w:rsidRPr="00525C3E" w:rsidRDefault="00B91987" w:rsidP="00B91987">
      <w:pPr>
        <w:rPr>
          <w:b/>
        </w:rPr>
      </w:pPr>
      <w:r w:rsidRPr="00525C3E">
        <w:rPr>
          <w:b/>
        </w:rPr>
        <w:t>B.</w:t>
      </w:r>
      <w:r w:rsidRPr="00525C3E">
        <w:rPr>
          <w:b/>
        </w:rPr>
        <w:tab/>
      </w:r>
      <w:r w:rsidRPr="00525C3E">
        <w:rPr>
          <w:b/>
          <w:i/>
        </w:rPr>
        <w:t>In re Shelor</w:t>
      </w:r>
      <w:r w:rsidRPr="00525C3E">
        <w:rPr>
          <w:b/>
        </w:rPr>
        <w:t xml:space="preserve">, No. 08-80738, </w:t>
      </w:r>
      <w:r w:rsidR="007B7A79" w:rsidRPr="00525C3E">
        <w:rPr>
          <w:b/>
        </w:rPr>
        <w:t>2008 Bankr. LEXIS 3974</w:t>
      </w:r>
      <w:r w:rsidRPr="00525C3E">
        <w:rPr>
          <w:b/>
        </w:rPr>
        <w:t xml:space="preserve"> (Bankr. M.D.N.C. Sept. 23, 2008).  </w:t>
      </w:r>
    </w:p>
    <w:p w:rsidR="00B91987" w:rsidRPr="00525C3E" w:rsidRDefault="00B91987" w:rsidP="00751F53">
      <w:pPr>
        <w:ind w:firstLine="720"/>
      </w:pPr>
    </w:p>
    <w:p w:rsidR="003239F6" w:rsidRPr="00525C3E" w:rsidRDefault="00B91987" w:rsidP="00751F53">
      <w:pPr>
        <w:ind w:firstLine="720"/>
        <w:rPr>
          <w:b/>
        </w:rPr>
      </w:pPr>
      <w:r w:rsidRPr="00525C3E">
        <w:t>Pursuant to §</w:t>
      </w:r>
      <w:r w:rsidR="003C19DC" w:rsidRPr="00525C3E">
        <w:t xml:space="preserve"> </w:t>
      </w:r>
      <w:r w:rsidRPr="00525C3E">
        <w:t xml:space="preserve">101(10A), the six-month period to be used in determining CMI varies depending upon whether the debtor files Schedule I.  If the debtor files a Schedule I, the six-month period is “the 6-month period ending on…the last day of the calendar month immediately preceding the date of the commencement of the case….”  If the debtor does not file Schedule I, then the six-month period is “the 6-month period ending on…the date on which current income is determined by the court for purposes of this title….”  However, if a debtor seeks to obtain the alternate six-month period under the latter provision by not filing a Schedule I, that debtor must promptly seek and obtain a court order permitting the debtor to do so in order to avoid the automatic dismissal of the case for failure to file a mandatory document.  If the debtor successfully invokes this provision, then the applicable six-month period will vary depending upon when the determination of current income is made and thus provides flexibility.  However, the provision does not permit the court to designate any time it chooses in the abstract.  The period automatically begins on the date the court makes a determination as to current income.  The timing of the hearing at which the court makes this determination is the key to producing a </w:t>
      </w:r>
      <w:r w:rsidRPr="00525C3E">
        <w:lastRenderedPageBreak/>
        <w:t>realistic picture of the debtor’s actual current income.</w:t>
      </w:r>
      <w:r w:rsidR="003239F6" w:rsidRPr="00525C3E">
        <w:t xml:space="preserve"> </w:t>
      </w:r>
      <w:r w:rsidR="003239F6" w:rsidRPr="00525C3E">
        <w:rPr>
          <w:i/>
        </w:rPr>
        <w:t>Accord In re Hoff</w:t>
      </w:r>
      <w:r w:rsidR="003239F6" w:rsidRPr="00525C3E">
        <w:t xml:space="preserve">, No. 09-00265, 2009 Bankr. LEXIS 714 (Bankr.E.D.N.C. Mar. 23, 2009) (following </w:t>
      </w:r>
      <w:r w:rsidR="003239F6" w:rsidRPr="00525C3E">
        <w:rPr>
          <w:i/>
        </w:rPr>
        <w:t>Shelor</w:t>
      </w:r>
      <w:r w:rsidR="003239F6" w:rsidRPr="00525C3E">
        <w:t xml:space="preserve">, but setting </w:t>
      </w:r>
      <w:r w:rsidR="00673E9F" w:rsidRPr="00525C3E">
        <w:t xml:space="preserve">time for calculation of </w:t>
      </w:r>
      <w:r w:rsidR="003239F6" w:rsidRPr="00525C3E">
        <w:t>CMI in such manner so that debtor has incentive to find employment</w:t>
      </w:r>
      <w:r w:rsidR="00673E9F" w:rsidRPr="00525C3E">
        <w:t>, rather than setting time for calculation during period with low income).</w:t>
      </w:r>
    </w:p>
    <w:p w:rsidR="000F288A" w:rsidRPr="00525C3E" w:rsidRDefault="009D49CA" w:rsidP="004B518C">
      <w:pPr>
        <w:pStyle w:val="Heading1"/>
        <w:numPr>
          <w:ilvl w:val="0"/>
          <w:numId w:val="7"/>
        </w:numPr>
        <w:rPr>
          <w:rFonts w:ascii="Times New Roman" w:hAnsi="Times New Roman"/>
          <w:sz w:val="24"/>
        </w:rPr>
      </w:pPr>
      <w:r w:rsidRPr="00525C3E">
        <w:rPr>
          <w:rFonts w:ascii="Times New Roman" w:hAnsi="Times New Roman"/>
          <w:sz w:val="24"/>
        </w:rPr>
        <w:t>P</w:t>
      </w:r>
      <w:r w:rsidR="00631A49" w:rsidRPr="00525C3E">
        <w:rPr>
          <w:rFonts w:ascii="Times New Roman" w:hAnsi="Times New Roman"/>
          <w:sz w:val="24"/>
        </w:rPr>
        <w:t>ROJECTED DISPOSABLE INCOME</w:t>
      </w:r>
    </w:p>
    <w:p w:rsidR="009D49CA" w:rsidRPr="00525C3E" w:rsidRDefault="009D49CA"/>
    <w:p w:rsidR="00D458B2" w:rsidRPr="00525C3E" w:rsidRDefault="009D49CA" w:rsidP="00CB17BE">
      <w:pPr>
        <w:ind w:firstLine="720"/>
      </w:pPr>
      <w:r w:rsidRPr="00525C3E">
        <w:t xml:space="preserve">BAPCPA did not alter 11 U.S.C. § 1325(b)(1)(B)’s requirement for a debtor to pay </w:t>
      </w:r>
      <w:r w:rsidRPr="00525C3E">
        <w:rPr>
          <w:i/>
        </w:rPr>
        <w:t>projected</w:t>
      </w:r>
      <w:r w:rsidRPr="00525C3E">
        <w:t xml:space="preserve"> disposable income into the plan.</w:t>
      </w:r>
      <w:r w:rsidR="00330D94" w:rsidRPr="00525C3E">
        <w:t xml:space="preserve"> </w:t>
      </w:r>
      <w:r w:rsidR="00BA2D4A" w:rsidRPr="00525C3E">
        <w:t>Instead, BAPCPA</w:t>
      </w:r>
      <w:r w:rsidRPr="00525C3E">
        <w:t xml:space="preserve"> added a definition of </w:t>
      </w:r>
      <w:r w:rsidRPr="00525C3E">
        <w:rPr>
          <w:i/>
        </w:rPr>
        <w:t>disposable income</w:t>
      </w:r>
      <w:r w:rsidRPr="00525C3E">
        <w:t xml:space="preserve"> in </w:t>
      </w:r>
      <w:r w:rsidR="00D458B2" w:rsidRPr="00525C3E">
        <w:t>11 U.S.C. §</w:t>
      </w:r>
      <w:r w:rsidRPr="00525C3E">
        <w:t xml:space="preserve"> 1325(b)(2)</w:t>
      </w:r>
      <w:r w:rsidRPr="00525C3E">
        <w:rPr>
          <w:i/>
        </w:rPr>
        <w:t>.</w:t>
      </w:r>
      <w:r w:rsidR="00330D94" w:rsidRPr="00525C3E">
        <w:t xml:space="preserve"> </w:t>
      </w:r>
      <w:r w:rsidRPr="00525C3E">
        <w:t>This semantic difference has resulted in a variety of opinions interpreting the effect of the word “projected” or, more precisely, the absence of that word from the definition of “disposable income.”</w:t>
      </w:r>
    </w:p>
    <w:p w:rsidR="00CB17BE" w:rsidRPr="00525C3E" w:rsidRDefault="00CB17BE" w:rsidP="00CB17BE">
      <w:pPr>
        <w:ind w:firstLine="720"/>
      </w:pPr>
    </w:p>
    <w:p w:rsidR="00D458B2" w:rsidRPr="00525C3E" w:rsidRDefault="00D458B2" w:rsidP="00CB17BE">
      <w:pPr>
        <w:ind w:firstLine="720"/>
      </w:pPr>
      <w:r w:rsidRPr="00525C3E">
        <w:t xml:space="preserve">The Bankruptcy Code now explicitly defines </w:t>
      </w:r>
      <w:r w:rsidRPr="00525C3E">
        <w:rPr>
          <w:i/>
        </w:rPr>
        <w:t>disposable income</w:t>
      </w:r>
      <w:r w:rsidRPr="00525C3E">
        <w:t xml:space="preserve"> as CMI,</w:t>
      </w:r>
      <w:r w:rsidRPr="00525C3E">
        <w:rPr>
          <w:vertAlign w:val="superscript"/>
        </w:rPr>
        <w:footnoteReference w:id="1"/>
      </w:r>
      <w:r w:rsidRPr="00525C3E">
        <w:t xml:space="preserve"> less certain expenditures designed to allow the debtor to provide for himself and his dependents.</w:t>
      </w:r>
      <w:r w:rsidRPr="00525C3E">
        <w:rPr>
          <w:vertAlign w:val="superscript"/>
        </w:rPr>
        <w:footnoteReference w:id="2"/>
      </w:r>
      <w:r w:rsidR="00330D94" w:rsidRPr="00525C3E">
        <w:t xml:space="preserve"> </w:t>
      </w:r>
      <w:r w:rsidRPr="00525C3E">
        <w:t>For debtors whose CMI is below the median income for their domiciles, BAPCPA still requires that an expense amount, to be allowed, be “reasonably necessary.”</w:t>
      </w:r>
      <w:r w:rsidR="00330D94" w:rsidRPr="00525C3E">
        <w:t xml:space="preserve"> </w:t>
      </w:r>
      <w:r w:rsidRPr="00525C3E">
        <w:t>For debtors whose CMI is above the state’s median, the reasonableness of the expense amounts is determined by tests set forth in 11 U.S.C. § 707(b)(2).</w:t>
      </w:r>
      <w:r w:rsidRPr="00525C3E">
        <w:rPr>
          <w:vertAlign w:val="superscript"/>
        </w:rPr>
        <w:footnoteReference w:id="3"/>
      </w:r>
      <w:r w:rsidR="00330D94" w:rsidRPr="00525C3E">
        <w:t xml:space="preserve"> </w:t>
      </w:r>
    </w:p>
    <w:p w:rsidR="00CB17BE" w:rsidRPr="00525C3E" w:rsidRDefault="00CB17BE" w:rsidP="00CB17BE">
      <w:pPr>
        <w:ind w:firstLine="720"/>
      </w:pPr>
    </w:p>
    <w:p w:rsidR="009D49CA" w:rsidRPr="00525C3E" w:rsidRDefault="00D458B2" w:rsidP="00CB17BE">
      <w:pPr>
        <w:ind w:firstLine="720"/>
      </w:pPr>
      <w:r w:rsidRPr="00525C3E">
        <w:t>As a result of amendments to</w:t>
      </w:r>
      <w:r w:rsidR="003D301C" w:rsidRPr="00525C3E">
        <w:t xml:space="preserve"> §</w:t>
      </w:r>
      <w:r w:rsidRPr="00525C3E">
        <w:t xml:space="preserve"> 1325 and the new definition of disposable income, a split of authority has emerged over whether projected disposable income is distinguishable from disposable income for the purposes of compliance with 11 U.S.C. § 1325(b), and if so, how projected disposable income is to be calculated.</w:t>
      </w:r>
    </w:p>
    <w:p w:rsidR="00FA2CEC" w:rsidRPr="00525C3E" w:rsidRDefault="00FA2CEC" w:rsidP="00FA2CEC">
      <w:pPr>
        <w:pStyle w:val="Heading2"/>
        <w:numPr>
          <w:ilvl w:val="0"/>
          <w:numId w:val="0"/>
        </w:numPr>
        <w:rPr>
          <w:rFonts w:ascii="Times New Roman" w:hAnsi="Times New Roman"/>
          <w:i w:val="0"/>
          <w:sz w:val="24"/>
          <w:u w:val="single"/>
        </w:rPr>
      </w:pPr>
      <w:r w:rsidRPr="00525C3E">
        <w:rPr>
          <w:rFonts w:ascii="Times New Roman" w:hAnsi="Times New Roman"/>
          <w:i w:val="0"/>
          <w:sz w:val="24"/>
        </w:rPr>
        <w:t>A.</w:t>
      </w:r>
      <w:r w:rsidRPr="00525C3E">
        <w:rPr>
          <w:rFonts w:ascii="Times New Roman" w:hAnsi="Times New Roman"/>
          <w:i w:val="0"/>
          <w:sz w:val="24"/>
        </w:rPr>
        <w:tab/>
      </w:r>
      <w:r w:rsidRPr="00525C3E">
        <w:rPr>
          <w:rFonts w:ascii="Times New Roman" w:hAnsi="Times New Roman"/>
          <w:i w:val="0"/>
          <w:sz w:val="24"/>
          <w:u w:val="single"/>
        </w:rPr>
        <w:t>Strict Interpretation of § 1325(b)(2)’s Definition of “Disposable Income”</w:t>
      </w:r>
    </w:p>
    <w:p w:rsidR="00FA2CEC" w:rsidRPr="00525C3E" w:rsidRDefault="00FA2CEC" w:rsidP="00FA2CEC"/>
    <w:p w:rsidR="00000754" w:rsidRPr="00525C3E" w:rsidRDefault="00000754" w:rsidP="00AF2977">
      <w:pPr>
        <w:ind w:firstLine="720"/>
      </w:pPr>
      <w:r w:rsidRPr="00525C3E">
        <w:t xml:space="preserve">A minority of </w:t>
      </w:r>
      <w:r w:rsidR="000C7CBA" w:rsidRPr="00525C3E">
        <w:t xml:space="preserve">appellate </w:t>
      </w:r>
      <w:r w:rsidR="000D6F48" w:rsidRPr="00525C3E">
        <w:t xml:space="preserve">courts </w:t>
      </w:r>
      <w:r w:rsidR="000C7CBA" w:rsidRPr="00525C3E">
        <w:t xml:space="preserve">and </w:t>
      </w:r>
      <w:r w:rsidRPr="00525C3E">
        <w:t>bankruptcy courts interpret § 1325(b)(1)(B) to require debtors to pay all projected disposable income, as defined in § 1325(b)(2), to unsecured creditors. T</w:t>
      </w:r>
      <w:r w:rsidR="002C17FE" w:rsidRPr="00525C3E">
        <w:t>hus, these courts instruct debtors to calculate projected disposable income by reducing CMI by the means test expenses enumerated in § 707(b)(2)(A) and (B).</w:t>
      </w:r>
    </w:p>
    <w:p w:rsidR="00AF2977" w:rsidRPr="00525C3E" w:rsidRDefault="00AF2977" w:rsidP="00AF2977">
      <w:pPr>
        <w:spacing w:line="480" w:lineRule="auto"/>
        <w:ind w:firstLine="720"/>
        <w:rPr>
          <w:b/>
        </w:rPr>
      </w:pPr>
    </w:p>
    <w:p w:rsidR="00FA2CEC" w:rsidRPr="00525C3E" w:rsidRDefault="00FA2CEC" w:rsidP="00AF2977">
      <w:pPr>
        <w:spacing w:line="480" w:lineRule="auto"/>
        <w:ind w:firstLine="720"/>
        <w:rPr>
          <w:b/>
          <w:i/>
        </w:rPr>
      </w:pPr>
      <w:r w:rsidRPr="00525C3E">
        <w:rPr>
          <w:b/>
        </w:rPr>
        <w:t>1.</w:t>
      </w:r>
      <w:r w:rsidRPr="00525C3E">
        <w:rPr>
          <w:b/>
        </w:rPr>
        <w:tab/>
      </w:r>
      <w:r w:rsidRPr="00525C3E">
        <w:rPr>
          <w:b/>
          <w:i/>
        </w:rPr>
        <w:t>Maney v. Kagenveama</w:t>
      </w:r>
      <w:r w:rsidRPr="00525C3E">
        <w:rPr>
          <w:b/>
        </w:rPr>
        <w:t>, 527 F.3d 990 (9th Cir. 2008).</w:t>
      </w:r>
    </w:p>
    <w:p w:rsidR="00FA2CEC" w:rsidRPr="00525C3E" w:rsidRDefault="00FA2CEC" w:rsidP="00AF2977">
      <w:pPr>
        <w:ind w:firstLine="720"/>
      </w:pPr>
      <w:r w:rsidRPr="00525C3E">
        <w:t xml:space="preserve">In </w:t>
      </w:r>
      <w:r w:rsidRPr="00525C3E">
        <w:rPr>
          <w:i/>
        </w:rPr>
        <w:t>Maney v. Kagenveama</w:t>
      </w:r>
      <w:r w:rsidRPr="00525C3E">
        <w:t xml:space="preserve">, the court affirmed a bankruptcy court’s confirmation of a plan, over the objection of a Chapter 13 trustee. The reviewing panel opined, based on the statute’s plain meaning, that the debtor’s projected disposable income is no more than her disposable income, as defined in 11 U.S.C. § 1325(b)(2), projected out over the applicable commitment period. The court adopted the interpretation of </w:t>
      </w:r>
      <w:r w:rsidRPr="00525C3E">
        <w:rPr>
          <w:i/>
        </w:rPr>
        <w:t>In re Alexander</w:t>
      </w:r>
      <w:r w:rsidRPr="00525C3E">
        <w:t xml:space="preserve">, 344 B.R. 742 (Bankr. E.D.N.C. </w:t>
      </w:r>
      <w:r w:rsidRPr="00525C3E">
        <w:lastRenderedPageBreak/>
        <w:t xml:space="preserve">2006) drawn especially to the oft-quoted, “one simply takes the calculation . . . and does the math,” and rejected those of </w:t>
      </w:r>
      <w:r w:rsidRPr="00525C3E">
        <w:rPr>
          <w:i/>
        </w:rPr>
        <w:t>In re Hardacre</w:t>
      </w:r>
      <w:r w:rsidRPr="00525C3E">
        <w:t xml:space="preserve">, 338 B.R. 718 (Bankr. N.D. </w:t>
      </w:r>
      <w:smartTag w:uri="urn:schemas-microsoft-com:office:smarttags" w:element="State">
        <w:smartTag w:uri="urn:schemas-microsoft-com:office:smarttags" w:element="place">
          <w:r w:rsidRPr="00525C3E">
            <w:t>Tex.</w:t>
          </w:r>
        </w:smartTag>
      </w:smartTag>
      <w:r w:rsidRPr="00525C3E">
        <w:t xml:space="preserve"> 2006) and </w:t>
      </w:r>
      <w:r w:rsidRPr="00525C3E">
        <w:rPr>
          <w:i/>
        </w:rPr>
        <w:t>In re Jass</w:t>
      </w:r>
      <w:r w:rsidRPr="00525C3E">
        <w:t xml:space="preserve">, 340 B.R. 411 (Bankr. D. </w:t>
      </w:r>
      <w:smartTag w:uri="urn:schemas-microsoft-com:office:smarttags" w:element="State">
        <w:smartTag w:uri="urn:schemas-microsoft-com:office:smarttags" w:element="place">
          <w:r w:rsidRPr="00525C3E">
            <w:t>Utah</w:t>
          </w:r>
        </w:smartTag>
      </w:smartTag>
      <w:r w:rsidRPr="00525C3E">
        <w:t xml:space="preserve"> 2006). The court determined that its interpretation of the Code was not absurd, and reminded that rectifying undesirable consequences of statutory drafting was the province of the Congress rather than the courts. In addition, the court pointed out that a trustee may seek modification of a plan if a debtor’s income increases after its confirmation.</w:t>
      </w:r>
    </w:p>
    <w:p w:rsidR="00FA2CEC" w:rsidRPr="00525C3E" w:rsidRDefault="00FA2CEC" w:rsidP="00FA2CEC">
      <w:pPr>
        <w:ind w:firstLine="720"/>
      </w:pPr>
    </w:p>
    <w:p w:rsidR="00FA2CEC" w:rsidRPr="00525C3E" w:rsidRDefault="00FA2CEC" w:rsidP="0023203A">
      <w:pPr>
        <w:ind w:left="1440" w:hanging="720"/>
        <w:rPr>
          <w:b/>
        </w:rPr>
      </w:pPr>
      <w:r w:rsidRPr="00525C3E">
        <w:rPr>
          <w:b/>
        </w:rPr>
        <w:t>2.</w:t>
      </w:r>
      <w:r w:rsidRPr="00525C3E">
        <w:rPr>
          <w:b/>
        </w:rPr>
        <w:tab/>
      </w:r>
      <w:r w:rsidRPr="00525C3E">
        <w:rPr>
          <w:b/>
          <w:i/>
        </w:rPr>
        <w:t>Mancl v. Chatterton</w:t>
      </w:r>
      <w:r w:rsidRPr="00525C3E">
        <w:rPr>
          <w:b/>
        </w:rPr>
        <w:t xml:space="preserve"> (</w:t>
      </w:r>
      <w:r w:rsidRPr="00525C3E">
        <w:rPr>
          <w:b/>
          <w:i/>
        </w:rPr>
        <w:t>In re Mancl</w:t>
      </w:r>
      <w:r w:rsidRPr="00525C3E">
        <w:rPr>
          <w:b/>
        </w:rPr>
        <w:t>), 381 B.R. 537 (W.D. Wis. 2008)</w:t>
      </w:r>
      <w:r w:rsidR="001855B6" w:rsidRPr="00525C3E">
        <w:rPr>
          <w:b/>
        </w:rPr>
        <w:t>.</w:t>
      </w:r>
    </w:p>
    <w:p w:rsidR="00FA2CEC" w:rsidRPr="00525C3E" w:rsidRDefault="00FA2CEC" w:rsidP="00FA2CEC"/>
    <w:p w:rsidR="00FA2CEC" w:rsidRPr="00525C3E" w:rsidRDefault="00FA2CEC" w:rsidP="00FA2CEC">
      <w:pPr>
        <w:ind w:firstLine="720"/>
        <w:rPr>
          <w:b/>
          <w:bCs/>
          <w:iCs/>
        </w:rPr>
      </w:pPr>
      <w:r w:rsidRPr="00525C3E">
        <w:t xml:space="preserve">The </w:t>
      </w:r>
      <w:r w:rsidRPr="00525C3E">
        <w:rPr>
          <w:i/>
        </w:rPr>
        <w:t>Mancl</w:t>
      </w:r>
      <w:r w:rsidRPr="00525C3E">
        <w:t xml:space="preserve"> appellate reviewer reversed the court below, adopted the </w:t>
      </w:r>
      <w:r w:rsidRPr="00525C3E">
        <w:rPr>
          <w:i/>
        </w:rPr>
        <w:t>In re Alexander</w:t>
      </w:r>
      <w:r w:rsidRPr="00525C3E">
        <w:t>, 344 B.R. 742 (Bankr. E.D.N.C. 2006) view of projected disposable income allowing use of a lower CMI income figure rather than the much higher “real” income reported on Schedule I, and opined that the</w:t>
      </w:r>
      <w:r w:rsidRPr="00525C3E">
        <w:rPr>
          <w:bCs/>
          <w:iCs/>
        </w:rPr>
        <w:t xml:space="preserve"> only reasonable interpretation of the phrase “projected disposable income” is the properly calculated </w:t>
      </w:r>
      <w:r w:rsidR="008F7B66" w:rsidRPr="00525C3E">
        <w:rPr>
          <w:bCs/>
          <w:iCs/>
        </w:rPr>
        <w:t>CMI</w:t>
      </w:r>
      <w:r w:rsidRPr="00525C3E">
        <w:rPr>
          <w:bCs/>
          <w:iCs/>
        </w:rPr>
        <w:t xml:space="preserve"> projected forward for each month of the applicable commitment period. The court noted that this will inevitably cause harsh results for both debtors and creditors but that it will also enhance consistency and predictability and limit the opportunities for manipulation of the bankruptcy process</w:t>
      </w:r>
      <w:r w:rsidRPr="00525C3E">
        <w:rPr>
          <w:b/>
          <w:bCs/>
          <w:iCs/>
        </w:rPr>
        <w:t>.</w:t>
      </w:r>
    </w:p>
    <w:p w:rsidR="0085043E" w:rsidRPr="00525C3E" w:rsidRDefault="0085043E" w:rsidP="0085043E">
      <w:pPr>
        <w:ind w:firstLine="720"/>
        <w:rPr>
          <w:bCs/>
          <w:i/>
        </w:rPr>
      </w:pPr>
    </w:p>
    <w:p w:rsidR="0085043E" w:rsidRPr="00525C3E" w:rsidRDefault="0085043E" w:rsidP="0085043E">
      <w:pPr>
        <w:numPr>
          <w:ilvl w:val="0"/>
          <w:numId w:val="12"/>
        </w:numPr>
        <w:rPr>
          <w:b/>
          <w:bCs/>
        </w:rPr>
      </w:pPr>
      <w:r w:rsidRPr="00525C3E">
        <w:rPr>
          <w:b/>
          <w:bCs/>
        </w:rPr>
        <w:t>Bankruptcy Court Review</w:t>
      </w:r>
    </w:p>
    <w:p w:rsidR="0085043E" w:rsidRPr="00525C3E" w:rsidRDefault="0085043E" w:rsidP="0085043E">
      <w:pPr>
        <w:rPr>
          <w:b/>
          <w:bCs/>
        </w:rPr>
      </w:pPr>
    </w:p>
    <w:p w:rsidR="0085043E" w:rsidRPr="00525C3E" w:rsidRDefault="002B0689" w:rsidP="0085043E">
      <w:pPr>
        <w:ind w:firstLine="720"/>
      </w:pPr>
      <w:r w:rsidRPr="00525C3E">
        <w:rPr>
          <w:bCs/>
          <w:i/>
        </w:rPr>
        <w:t>In re McGillis</w:t>
      </w:r>
      <w:r w:rsidRPr="00525C3E">
        <w:rPr>
          <w:bCs/>
        </w:rPr>
        <w:t xml:space="preserve">, 370 B.R. 720 (Bankr. W.D. Mich. 2007); </w:t>
      </w:r>
      <w:r w:rsidRPr="00525C3E">
        <w:rPr>
          <w:bCs/>
          <w:i/>
        </w:rPr>
        <w:t>In re Nance</w:t>
      </w:r>
      <w:r w:rsidRPr="00525C3E">
        <w:rPr>
          <w:bCs/>
        </w:rPr>
        <w:t xml:space="preserve">, 371 B.R. 358 (Bankr. S.D. </w:t>
      </w:r>
      <w:smartTag w:uri="urn:schemas-microsoft-com:office:smarttags" w:element="State">
        <w:r w:rsidRPr="00525C3E">
          <w:rPr>
            <w:bCs/>
          </w:rPr>
          <w:t>Ill.</w:t>
        </w:r>
      </w:smartTag>
      <w:r w:rsidRPr="00525C3E">
        <w:rPr>
          <w:bCs/>
        </w:rPr>
        <w:t xml:space="preserve"> 2007);</w:t>
      </w:r>
      <w:r w:rsidR="00912EB7" w:rsidRPr="00525C3E">
        <w:rPr>
          <w:bCs/>
        </w:rPr>
        <w:t xml:space="preserve"> </w:t>
      </w:r>
      <w:r w:rsidR="00912EB7" w:rsidRPr="00525C3E">
        <w:rPr>
          <w:bCs/>
          <w:i/>
        </w:rPr>
        <w:t xml:space="preserve">In re </w:t>
      </w:r>
      <w:smartTag w:uri="urn:schemas-microsoft-com:office:smarttags" w:element="City">
        <w:smartTag w:uri="urn:schemas-microsoft-com:office:smarttags" w:element="place">
          <w:r w:rsidR="00912EB7" w:rsidRPr="00525C3E">
            <w:rPr>
              <w:bCs/>
              <w:i/>
            </w:rPr>
            <w:t>Austin</w:t>
          </w:r>
        </w:smartTag>
      </w:smartTag>
      <w:r w:rsidR="00912EB7" w:rsidRPr="00525C3E">
        <w:rPr>
          <w:bCs/>
        </w:rPr>
        <w:t xml:space="preserve">, 372 B.R. 668 (Bankr. D. </w:t>
      </w:r>
      <w:smartTag w:uri="urn:schemas-microsoft-com:office:smarttags" w:element="State">
        <w:smartTag w:uri="urn:schemas-microsoft-com:office:smarttags" w:element="place">
          <w:r w:rsidR="00912EB7" w:rsidRPr="00525C3E">
            <w:rPr>
              <w:bCs/>
            </w:rPr>
            <w:t>Vt.</w:t>
          </w:r>
        </w:smartTag>
      </w:smartTag>
      <w:r w:rsidR="00912EB7" w:rsidRPr="00525C3E">
        <w:rPr>
          <w:bCs/>
        </w:rPr>
        <w:t xml:space="preserve"> 2007); </w:t>
      </w:r>
      <w:r w:rsidR="00912EB7" w:rsidRPr="00525C3E">
        <w:rPr>
          <w:bCs/>
          <w:i/>
        </w:rPr>
        <w:t>In re Green</w:t>
      </w:r>
      <w:r w:rsidR="00912EB7" w:rsidRPr="00525C3E">
        <w:rPr>
          <w:bCs/>
        </w:rPr>
        <w:t>, 378 B.R. 30 (Bankr. N.D.N.Y. 2007);</w:t>
      </w:r>
      <w:r w:rsidRPr="00525C3E">
        <w:rPr>
          <w:bCs/>
          <w:i/>
        </w:rPr>
        <w:t xml:space="preserve"> </w:t>
      </w:r>
      <w:r w:rsidR="0085043E" w:rsidRPr="00525C3E">
        <w:rPr>
          <w:bCs/>
          <w:i/>
        </w:rPr>
        <w:t>In re Hanks</w:t>
      </w:r>
      <w:r w:rsidR="0085043E" w:rsidRPr="00525C3E">
        <w:rPr>
          <w:bCs/>
        </w:rPr>
        <w:t>, 362</w:t>
      </w:r>
      <w:r w:rsidR="00D56F2C" w:rsidRPr="00525C3E">
        <w:rPr>
          <w:bCs/>
        </w:rPr>
        <w:t xml:space="preserve"> B.R. 494 (Bankr. D. </w:t>
      </w:r>
      <w:smartTag w:uri="urn:schemas-microsoft-com:office:smarttags" w:element="State">
        <w:smartTag w:uri="urn:schemas-microsoft-com:office:smarttags" w:element="place">
          <w:r w:rsidR="00D56F2C" w:rsidRPr="00525C3E">
            <w:rPr>
              <w:bCs/>
            </w:rPr>
            <w:t>Utah</w:t>
          </w:r>
        </w:smartTag>
      </w:smartTag>
      <w:r w:rsidR="00D56F2C" w:rsidRPr="00525C3E">
        <w:rPr>
          <w:bCs/>
        </w:rPr>
        <w:t xml:space="preserve"> 2007);</w:t>
      </w:r>
      <w:r w:rsidR="0085043E" w:rsidRPr="00525C3E">
        <w:rPr>
          <w:bCs/>
        </w:rPr>
        <w:t xml:space="preserve"> </w:t>
      </w:r>
      <w:r w:rsidR="0085043E" w:rsidRPr="00525C3E">
        <w:rPr>
          <w:i/>
        </w:rPr>
        <w:t>In re Alexander</w:t>
      </w:r>
      <w:r w:rsidR="0085043E" w:rsidRPr="00525C3E">
        <w:t xml:space="preserve">, 344 </w:t>
      </w:r>
      <w:r w:rsidR="00D56F2C" w:rsidRPr="00525C3E">
        <w:t>B.R. 742 (Bankr. E.D.N.C. 2006)</w:t>
      </w:r>
      <w:r w:rsidRPr="00525C3E">
        <w:t xml:space="preserve">; </w:t>
      </w:r>
      <w:r w:rsidRPr="00525C3E">
        <w:rPr>
          <w:i/>
        </w:rPr>
        <w:t>In re Guzman</w:t>
      </w:r>
      <w:r w:rsidRPr="00525C3E">
        <w:t xml:space="preserve">, 345 B.R. 640 (Bankr. E.D. Wis. 2006); </w:t>
      </w:r>
      <w:r w:rsidRPr="00525C3E">
        <w:rPr>
          <w:i/>
        </w:rPr>
        <w:t>In re Thicklin</w:t>
      </w:r>
      <w:r w:rsidRPr="00525C3E">
        <w:t>, 355 B.R. 856 (Bankr. M.D. Ala. 2006)</w:t>
      </w:r>
      <w:r w:rsidR="00FB3498" w:rsidRPr="00525C3E">
        <w:t>.</w:t>
      </w:r>
    </w:p>
    <w:p w:rsidR="00D458B2" w:rsidRPr="00525C3E" w:rsidRDefault="000C7CBA" w:rsidP="000C7CBA">
      <w:pPr>
        <w:pStyle w:val="Heading2"/>
        <w:numPr>
          <w:ilvl w:val="0"/>
          <w:numId w:val="0"/>
        </w:numPr>
        <w:ind w:left="720" w:hanging="720"/>
        <w:rPr>
          <w:rFonts w:ascii="Times New Roman" w:hAnsi="Times New Roman"/>
          <w:i w:val="0"/>
          <w:sz w:val="24"/>
          <w:u w:val="single"/>
        </w:rPr>
      </w:pPr>
      <w:r w:rsidRPr="00525C3E">
        <w:rPr>
          <w:rFonts w:ascii="Times New Roman" w:hAnsi="Times New Roman"/>
          <w:i w:val="0"/>
          <w:sz w:val="24"/>
        </w:rPr>
        <w:t>B.</w:t>
      </w:r>
      <w:r w:rsidRPr="00525C3E">
        <w:rPr>
          <w:rFonts w:ascii="Times New Roman" w:hAnsi="Times New Roman"/>
          <w:i w:val="0"/>
          <w:sz w:val="24"/>
        </w:rPr>
        <w:tab/>
      </w:r>
      <w:r w:rsidR="0074356D" w:rsidRPr="00525C3E">
        <w:rPr>
          <w:rFonts w:ascii="Times New Roman" w:hAnsi="Times New Roman"/>
          <w:i w:val="0"/>
          <w:sz w:val="24"/>
          <w:u w:val="single"/>
        </w:rPr>
        <w:t>Presumption of Strict Adherence to § 1325(b)(2)’s Definition of Disposable Income Unless Forward-Looking Circumstances Vary From Historical Circumstances</w:t>
      </w:r>
    </w:p>
    <w:p w:rsidR="009D49CA" w:rsidRPr="00525C3E" w:rsidRDefault="009D49CA"/>
    <w:p w:rsidR="00CB17BE" w:rsidRPr="00525C3E" w:rsidRDefault="00D458B2" w:rsidP="00CB17BE">
      <w:pPr>
        <w:ind w:firstLine="720"/>
      </w:pPr>
      <w:r w:rsidRPr="00525C3E">
        <w:t xml:space="preserve">According to a majority of courts examining </w:t>
      </w:r>
      <w:r w:rsidR="0074356D" w:rsidRPr="00525C3E">
        <w:t>how to calculate projected disposable income</w:t>
      </w:r>
      <w:r w:rsidRPr="00525C3E">
        <w:t xml:space="preserve">, the addition of the </w:t>
      </w:r>
      <w:r w:rsidR="008801C3" w:rsidRPr="00525C3E">
        <w:t xml:space="preserve">modifier </w:t>
      </w:r>
      <w:r w:rsidRPr="00525C3E">
        <w:t>“projected</w:t>
      </w:r>
      <w:r w:rsidR="004C21AF" w:rsidRPr="00525C3E">
        <w:t>,”</w:t>
      </w:r>
      <w:r w:rsidRPr="00525C3E">
        <w:t xml:space="preserve"> </w:t>
      </w:r>
      <w:r w:rsidR="0074356D" w:rsidRPr="00525C3E">
        <w:t xml:space="preserve">to the defined term “disposable income,” </w:t>
      </w:r>
      <w:r w:rsidRPr="00525C3E">
        <w:t xml:space="preserve">as well as the </w:t>
      </w:r>
      <w:r w:rsidR="0074356D" w:rsidRPr="00525C3E">
        <w:t>specification</w:t>
      </w:r>
      <w:r w:rsidRPr="00525C3E">
        <w:t xml:space="preserve"> of income which is “to be received in the applicable commitment period</w:t>
      </w:r>
      <w:r w:rsidR="004C21AF" w:rsidRPr="00525C3E">
        <w:t>,”</w:t>
      </w:r>
      <w:r w:rsidRPr="00525C3E">
        <w:t xml:space="preserve"> </w:t>
      </w:r>
      <w:r w:rsidR="000C7CBA" w:rsidRPr="00525C3E">
        <w:t>§ 1325(b)(1)(B)</w:t>
      </w:r>
      <w:r w:rsidRPr="00525C3E">
        <w:t xml:space="preserve"> requires a determination </w:t>
      </w:r>
      <w:r w:rsidR="0074356D" w:rsidRPr="00525C3E">
        <w:t>of a debtor’s</w:t>
      </w:r>
      <w:r w:rsidRPr="00525C3E">
        <w:t xml:space="preserve"> </w:t>
      </w:r>
      <w:r w:rsidRPr="00525C3E">
        <w:rPr>
          <w:b/>
        </w:rPr>
        <w:t>future</w:t>
      </w:r>
      <w:r w:rsidRPr="00525C3E">
        <w:t xml:space="preserve"> ability to pay</w:t>
      </w:r>
      <w:r w:rsidRPr="00525C3E">
        <w:fldChar w:fldCharType="begin"/>
      </w:r>
      <w:r w:rsidRPr="00525C3E">
        <w:instrText xml:space="preserve"> TA \l "</w:instrText>
      </w:r>
      <w:r w:rsidRPr="00525C3E">
        <w:rPr>
          <w:i/>
        </w:rPr>
        <w:instrText>In re Lanning</w:instrText>
      </w:r>
      <w:r w:rsidRPr="00525C3E">
        <w:instrText>, No. KS-07-067, 2007 Bankr. LEXIS 4107 (B.A.P. 10</w:instrText>
      </w:r>
      <w:r w:rsidRPr="00525C3E">
        <w:rPr>
          <w:vertAlign w:val="superscript"/>
        </w:rPr>
        <w:instrText>th</w:instrText>
      </w:r>
      <w:r w:rsidRPr="00525C3E">
        <w:instrText xml:space="preserve"> Cir. Dec. 13, 2007)" \s "In re Lanning, No. KS-07-067, 2007 Bankr. LEXIS 4107" \c 1 </w:instrText>
      </w:r>
      <w:r w:rsidRPr="00525C3E">
        <w:fldChar w:fldCharType="end"/>
      </w:r>
      <w:r w:rsidR="00CB17BE" w:rsidRPr="00525C3E">
        <w:t>.</w:t>
      </w:r>
      <w:r w:rsidR="008801C3" w:rsidRPr="00525C3E">
        <w:t xml:space="preserve"> Thus, courts taking this approach look first to § 1325(b)(2) to calculate projected disposable income unless forward-looking circumstances necessitate a departure from the § 1325(b)(2) definition.</w:t>
      </w:r>
      <w:r w:rsidR="0074356D" w:rsidRPr="00525C3E">
        <w:t xml:space="preserve"> Within this broad view, there are two approaches: one that looks to only anticipated or forward-looking income and one that looks to both anticipated or forward-looking income </w:t>
      </w:r>
      <w:r w:rsidR="0074356D" w:rsidRPr="00525C3E">
        <w:rPr>
          <w:i/>
        </w:rPr>
        <w:t>and</w:t>
      </w:r>
      <w:r w:rsidR="0074356D" w:rsidRPr="00525C3E">
        <w:t xml:space="preserve"> expenses.</w:t>
      </w:r>
    </w:p>
    <w:p w:rsidR="007D1FDD" w:rsidRPr="00525C3E" w:rsidRDefault="007D1FDD" w:rsidP="00CB17BE">
      <w:pPr>
        <w:ind w:firstLine="720"/>
      </w:pPr>
    </w:p>
    <w:p w:rsidR="008801C3" w:rsidRPr="00525C3E" w:rsidRDefault="007D1FDD" w:rsidP="008801C3">
      <w:pPr>
        <w:keepNext/>
        <w:numPr>
          <w:ilvl w:val="0"/>
          <w:numId w:val="13"/>
        </w:numPr>
        <w:spacing w:line="480" w:lineRule="auto"/>
        <w:rPr>
          <w:u w:val="single"/>
        </w:rPr>
      </w:pPr>
      <w:r w:rsidRPr="00525C3E">
        <w:rPr>
          <w:b/>
          <w:u w:val="single"/>
        </w:rPr>
        <w:lastRenderedPageBreak/>
        <w:t>F</w:t>
      </w:r>
      <w:r w:rsidR="008801C3" w:rsidRPr="00525C3E">
        <w:rPr>
          <w:b/>
          <w:u w:val="single"/>
        </w:rPr>
        <w:t>orward-Looking Income</w:t>
      </w:r>
    </w:p>
    <w:p w:rsidR="00532294" w:rsidRPr="00525C3E" w:rsidRDefault="008801C3" w:rsidP="00C97939">
      <w:pPr>
        <w:keepNext/>
        <w:ind w:left="720" w:firstLine="720"/>
        <w:rPr>
          <w:b/>
        </w:rPr>
      </w:pPr>
      <w:r w:rsidRPr="00525C3E">
        <w:rPr>
          <w:b/>
          <w:bCs/>
        </w:rPr>
        <w:t>a.</w:t>
      </w:r>
      <w:r w:rsidRPr="00525C3E">
        <w:rPr>
          <w:b/>
          <w:bCs/>
          <w:i/>
        </w:rPr>
        <w:tab/>
      </w:r>
      <w:smartTag w:uri="urn:schemas-microsoft-com:office:smarttags" w:element="City">
        <w:smartTag w:uri="urn:schemas-microsoft-com:office:smarttags" w:element="place">
          <w:r w:rsidR="00532294" w:rsidRPr="00525C3E">
            <w:rPr>
              <w:b/>
              <w:bCs/>
              <w:i/>
            </w:rPr>
            <w:t>Hamilton</w:t>
          </w:r>
        </w:smartTag>
      </w:smartTag>
      <w:r w:rsidR="00532294" w:rsidRPr="00525C3E">
        <w:rPr>
          <w:b/>
          <w:bCs/>
          <w:i/>
        </w:rPr>
        <w:t xml:space="preserve"> v. Lanning</w:t>
      </w:r>
      <w:r w:rsidR="00532294" w:rsidRPr="00525C3E">
        <w:rPr>
          <w:b/>
          <w:bCs/>
        </w:rPr>
        <w:t xml:space="preserve"> (</w:t>
      </w:r>
      <w:r w:rsidR="00532294" w:rsidRPr="00525C3E">
        <w:rPr>
          <w:b/>
          <w:bCs/>
          <w:i/>
        </w:rPr>
        <w:t>In re Lanning</w:t>
      </w:r>
      <w:r w:rsidR="00532294" w:rsidRPr="00525C3E">
        <w:rPr>
          <w:b/>
          <w:bCs/>
        </w:rPr>
        <w:t>)</w:t>
      </w:r>
      <w:r w:rsidR="004C21AF" w:rsidRPr="00525C3E">
        <w:rPr>
          <w:b/>
        </w:rPr>
        <w:t>, 545 F.3d 1269 (10th</w:t>
      </w:r>
      <w:r w:rsidR="00532294" w:rsidRPr="00525C3E">
        <w:rPr>
          <w:b/>
        </w:rPr>
        <w:t xml:space="preserve"> Cir. 2008)</w:t>
      </w:r>
      <w:r w:rsidR="00302B3D" w:rsidRPr="00525C3E">
        <w:rPr>
          <w:b/>
        </w:rPr>
        <w:t xml:space="preserve">, </w:t>
      </w:r>
      <w:r w:rsidR="00302B3D" w:rsidRPr="00525C3E">
        <w:rPr>
          <w:b/>
          <w:i/>
        </w:rPr>
        <w:t>cert. granted</w:t>
      </w:r>
      <w:r w:rsidR="00302B3D" w:rsidRPr="00525C3E">
        <w:rPr>
          <w:b/>
        </w:rPr>
        <w:t>, No. 08-998 (Nov. 2, 2009)</w:t>
      </w:r>
      <w:r w:rsidR="00C01BC4" w:rsidRPr="00525C3E">
        <w:rPr>
          <w:b/>
        </w:rPr>
        <w:t xml:space="preserve"> (oral argument held March 22, 2010)</w:t>
      </w:r>
      <w:r w:rsidR="00532294" w:rsidRPr="00525C3E">
        <w:rPr>
          <w:b/>
        </w:rPr>
        <w:t>.</w:t>
      </w:r>
    </w:p>
    <w:p w:rsidR="00C97939" w:rsidRPr="00525C3E" w:rsidRDefault="00C97939" w:rsidP="00C97939">
      <w:pPr>
        <w:keepNext/>
        <w:ind w:left="720" w:firstLine="720"/>
        <w:rPr>
          <w:u w:val="single"/>
        </w:rPr>
      </w:pPr>
    </w:p>
    <w:p w:rsidR="00532294" w:rsidRPr="00525C3E" w:rsidRDefault="00532294" w:rsidP="00532294">
      <w:pPr>
        <w:ind w:firstLine="720"/>
        <w:rPr>
          <w:b/>
          <w:i/>
        </w:rPr>
      </w:pPr>
      <w:r w:rsidRPr="00525C3E">
        <w:t xml:space="preserve">In </w:t>
      </w:r>
      <w:r w:rsidRPr="00525C3E">
        <w:rPr>
          <w:i/>
        </w:rPr>
        <w:t>Hamilton v. Lanning</w:t>
      </w:r>
      <w:r w:rsidRPr="00525C3E">
        <w:t>, the court found that, for the purposes of calculating income,</w:t>
      </w:r>
      <w:r w:rsidR="000729C1" w:rsidRPr="00525C3E">
        <w:rPr>
          <w:rStyle w:val="FootnoteReference"/>
        </w:rPr>
        <w:footnoteReference w:id="4"/>
      </w:r>
      <w:r w:rsidRPr="00525C3E">
        <w:t xml:space="preserve"> </w:t>
      </w:r>
      <w:r w:rsidR="00C750E0" w:rsidRPr="00525C3E">
        <w:t xml:space="preserve">CMI </w:t>
      </w:r>
      <w:r w:rsidRPr="00525C3E">
        <w:t xml:space="preserve">is the presumptive starting point for projected disposable income, subject to a showing of substantial change of circumstances, </w:t>
      </w:r>
      <w:r w:rsidR="00AA4834" w:rsidRPr="00525C3E">
        <w:t xml:space="preserve">to be </w:t>
      </w:r>
      <w:r w:rsidRPr="00525C3E">
        <w:t>determined by a bankruptcy court on a case by case basis.</w:t>
      </w:r>
      <w:r w:rsidR="00330D94" w:rsidRPr="00525C3E">
        <w:t xml:space="preserve"> </w:t>
      </w:r>
      <w:r w:rsidRPr="00525C3E">
        <w:t>In calculating projected disposable income, it is permissible to adjust a debtor’s “monthly disposable income</w:t>
      </w:r>
      <w:r w:rsidR="004C21AF" w:rsidRPr="00525C3E">
        <w:t>,”</w:t>
      </w:r>
      <w:r w:rsidRPr="00525C3E">
        <w:t xml:space="preserve"> as shown on her Official Form 22C, to reflect her actual ability to pay as of the effective date of the plan, eschewing a mechanical application of the definitions of disposable income and </w:t>
      </w:r>
      <w:r w:rsidR="008F7B66" w:rsidRPr="00525C3E">
        <w:t>CMI</w:t>
      </w:r>
      <w:r w:rsidRPr="00525C3E">
        <w:t>.</w:t>
      </w:r>
      <w:r w:rsidR="00330D94" w:rsidRPr="00525C3E">
        <w:t xml:space="preserve"> </w:t>
      </w:r>
      <w:r w:rsidRPr="00525C3E">
        <w:t>The court found that forward looking statutory language, “as of the effective date of the plan</w:t>
      </w:r>
      <w:r w:rsidR="004C21AF" w:rsidRPr="00525C3E">
        <w:t>,”</w:t>
      </w:r>
      <w:r w:rsidRPr="00525C3E">
        <w:t xml:space="preserve"> “to be received in the applicable commitment period</w:t>
      </w:r>
      <w:r w:rsidR="004C21AF" w:rsidRPr="00525C3E">
        <w:t>,”</w:t>
      </w:r>
      <w:r w:rsidRPr="00525C3E">
        <w:t xml:space="preserve"> and “will be applied to make payments</w:t>
      </w:r>
      <w:r w:rsidR="004C21AF" w:rsidRPr="00525C3E">
        <w:t>,”</w:t>
      </w:r>
      <w:r w:rsidRPr="00525C3E">
        <w:t xml:space="preserve"> outweighs difficulty with its income presumptive approach absent explicit statutory language p</w:t>
      </w:r>
      <w:r w:rsidR="00DD3577" w:rsidRPr="00525C3E">
        <w:t>roviding for such presumption. </w:t>
      </w:r>
      <w:r w:rsidRPr="00525C3E">
        <w:t>The court also found that the legislative history in the House Report shows that the best and most important legislative purpose or intent was to require debtors to repay</w:t>
      </w:r>
      <w:r w:rsidR="004B518C" w:rsidRPr="00525C3E">
        <w:t xml:space="preserve"> the</w:t>
      </w:r>
      <w:r w:rsidRPr="00525C3E">
        <w:t xml:space="preserve"> maximum they can afford.</w:t>
      </w:r>
      <w:r w:rsidR="008E70DA" w:rsidRPr="00525C3E">
        <w:rPr>
          <w:rStyle w:val="FootnoteReference"/>
        </w:rPr>
        <w:footnoteReference w:id="5"/>
      </w:r>
      <w:r w:rsidR="00330D94" w:rsidRPr="00525C3E">
        <w:t xml:space="preserve"> </w:t>
      </w:r>
      <w:r w:rsidRPr="00525C3E">
        <w:t xml:space="preserve">Lastly, </w:t>
      </w:r>
      <w:r w:rsidR="004C21AF" w:rsidRPr="00525C3E">
        <w:t xml:space="preserve">a </w:t>
      </w:r>
      <w:r w:rsidRPr="00525C3E">
        <w:t>mechanical approach may deny bankruptcy protection for debtors who show disposable income but cannot propose a resultant feasible plan.</w:t>
      </w:r>
    </w:p>
    <w:p w:rsidR="00532294" w:rsidRPr="00525C3E" w:rsidRDefault="00532294" w:rsidP="00532294">
      <w:pPr>
        <w:jc w:val="center"/>
        <w:rPr>
          <w:b/>
          <w:i/>
        </w:rPr>
      </w:pPr>
    </w:p>
    <w:p w:rsidR="008801C3" w:rsidRPr="00525C3E" w:rsidRDefault="008801C3" w:rsidP="008801C3">
      <w:pPr>
        <w:ind w:left="720" w:firstLine="720"/>
        <w:rPr>
          <w:b/>
        </w:rPr>
      </w:pPr>
      <w:r w:rsidRPr="00525C3E">
        <w:rPr>
          <w:b/>
        </w:rPr>
        <w:t>b.</w:t>
      </w:r>
      <w:r w:rsidRPr="00525C3E">
        <w:rPr>
          <w:b/>
        </w:rPr>
        <w:tab/>
      </w:r>
      <w:r w:rsidRPr="00525C3E">
        <w:rPr>
          <w:b/>
          <w:i/>
        </w:rPr>
        <w:t>Kibbe v. Sumski</w:t>
      </w:r>
      <w:r w:rsidRPr="00525C3E">
        <w:rPr>
          <w:b/>
        </w:rPr>
        <w:t>, 361 B.R. 302 (B.A.P. 1st Cir. 2007).</w:t>
      </w:r>
    </w:p>
    <w:p w:rsidR="008801C3" w:rsidRPr="00525C3E" w:rsidRDefault="008801C3" w:rsidP="008801C3">
      <w:pPr>
        <w:jc w:val="center"/>
        <w:rPr>
          <w:b/>
          <w:i/>
        </w:rPr>
      </w:pPr>
    </w:p>
    <w:p w:rsidR="008801C3" w:rsidRPr="00525C3E" w:rsidRDefault="008801C3" w:rsidP="008801C3">
      <w:pPr>
        <w:ind w:firstLine="720"/>
      </w:pPr>
      <w:r w:rsidRPr="00525C3E">
        <w:t xml:space="preserve">In </w:t>
      </w:r>
      <w:r w:rsidRPr="00525C3E">
        <w:rPr>
          <w:i/>
        </w:rPr>
        <w:t>Kibbe v. Sumski</w:t>
      </w:r>
      <w:r w:rsidRPr="00525C3E">
        <w:t xml:space="preserve">, the court affirmed a bankruptcy court’s denial of confirmation of a debtor’s Chapter 13 plan. The so-called “below median” debtor’s plan faced a trustee’s motion to dismiss (treated by the court as an objection to confirmation) for its failure to devote all of the debtor’s projected disposable income to payments to unsecured creditors. More specifically, the trustee objected to the manner by which the debtor calculated her projected disposable income. Because of a job change, the debtor’s income at the time of her petition was substantially greater than her </w:t>
      </w:r>
      <w:r w:rsidR="008F7B66" w:rsidRPr="00525C3E">
        <w:t>CMI</w:t>
      </w:r>
      <w:r w:rsidRPr="00525C3E">
        <w:t xml:space="preserve">. The debtor argued that because her reasonably necessary expenses exceeded her </w:t>
      </w:r>
      <w:r w:rsidR="008F7B66" w:rsidRPr="00525C3E">
        <w:t>CMI</w:t>
      </w:r>
      <w:r w:rsidRPr="00525C3E">
        <w:t xml:space="preserve">, she had neither disposable income nor projected disposable income to devote to her plan. The trustee argued that her income at the time of her petition, much higher than her statutorily derived </w:t>
      </w:r>
      <w:r w:rsidR="008F7B66" w:rsidRPr="00525C3E">
        <w:t>CMI</w:t>
      </w:r>
      <w:r w:rsidRPr="00525C3E">
        <w:t>, provided substantial projected disposable income for payment to unsecured creditors. Her proposed plan, he argued, was therefore not confirmable.</w:t>
      </w:r>
    </w:p>
    <w:p w:rsidR="008801C3" w:rsidRPr="00525C3E" w:rsidRDefault="008801C3" w:rsidP="008801C3">
      <w:pPr>
        <w:ind w:firstLine="720"/>
      </w:pPr>
    </w:p>
    <w:p w:rsidR="008801C3" w:rsidRPr="00525C3E" w:rsidRDefault="008801C3" w:rsidP="008801C3">
      <w:pPr>
        <w:ind w:firstLine="720"/>
      </w:pPr>
      <w:r w:rsidRPr="00525C3E">
        <w:t xml:space="preserve">The bankruptcy appellate panel agreed with the trial court that the debtor’s plan was impermissible because it understated the debtor’s projected disposable income by its </w:t>
      </w:r>
      <w:r w:rsidRPr="00525C3E">
        <w:rPr>
          <w:b/>
        </w:rPr>
        <w:t>failure to account for the known substantial increase in the debtor’s income</w:t>
      </w:r>
      <w:r w:rsidRPr="00525C3E">
        <w:t xml:space="preserve">, as projected over the plan’s applicable commitment period. Noting and describing the two disparate approaches adopted by bankruptcy courts, the panel agreed that the term “projected” must be given independent significance so as to distinguish “projected disposable income” from “disposable </w:t>
      </w:r>
      <w:r w:rsidRPr="00525C3E">
        <w:lastRenderedPageBreak/>
        <w:t>income,” such that the former utilizes the debtor’s anticipated actual income. Such an interpretation of the Code’s language, so opined the panel, accorded with rules of statutory construction by avoiding the consigning of “projected” to impermissible surplusage and an absurd result distinctly discordant with congressional intent and common sense. Indeed, the panel observed that “life informs otherwise” than to assume that income is immutable after the inception of a case or during the applicable commitment period.</w:t>
      </w:r>
    </w:p>
    <w:p w:rsidR="008801C3" w:rsidRPr="00525C3E" w:rsidRDefault="008801C3" w:rsidP="00532294">
      <w:pPr>
        <w:jc w:val="center"/>
        <w:rPr>
          <w:b/>
          <w:i/>
        </w:rPr>
      </w:pPr>
    </w:p>
    <w:p w:rsidR="003004B1" w:rsidRPr="00525C3E" w:rsidRDefault="003004B1" w:rsidP="003004B1">
      <w:pPr>
        <w:ind w:firstLine="720"/>
        <w:rPr>
          <w:b/>
          <w:u w:val="single"/>
        </w:rPr>
      </w:pPr>
      <w:r w:rsidRPr="00525C3E">
        <w:tab/>
      </w:r>
      <w:r w:rsidRPr="00525C3E">
        <w:rPr>
          <w:b/>
        </w:rPr>
        <w:t>c.</w:t>
      </w:r>
      <w:r w:rsidRPr="00525C3E">
        <w:rPr>
          <w:b/>
        </w:rPr>
        <w:tab/>
      </w:r>
      <w:r w:rsidRPr="00525C3E">
        <w:rPr>
          <w:b/>
          <w:u w:val="single"/>
        </w:rPr>
        <w:t>Bankruptcy Court Review</w:t>
      </w:r>
    </w:p>
    <w:p w:rsidR="003004B1" w:rsidRPr="00525C3E" w:rsidRDefault="003004B1" w:rsidP="003004B1">
      <w:pPr>
        <w:ind w:firstLine="720"/>
        <w:rPr>
          <w:b/>
          <w:u w:val="single"/>
        </w:rPr>
      </w:pPr>
    </w:p>
    <w:p w:rsidR="003004B1" w:rsidRPr="00525C3E" w:rsidRDefault="003004B1" w:rsidP="003004B1">
      <w:pPr>
        <w:ind w:firstLine="720"/>
      </w:pPr>
      <w:r w:rsidRPr="00525C3E">
        <w:rPr>
          <w:i/>
        </w:rPr>
        <w:t>In re Hardacre</w:t>
      </w:r>
      <w:r w:rsidRPr="00525C3E">
        <w:t>, 338 B.R. 718, 723 (Bankr. N.D. Tex. 2006)</w:t>
      </w:r>
      <w:r w:rsidRPr="00525C3E">
        <w:fldChar w:fldCharType="begin"/>
      </w:r>
      <w:r w:rsidRPr="00525C3E">
        <w:instrText xml:space="preserve"> TA \l "</w:instrText>
      </w:r>
      <w:r w:rsidRPr="00525C3E">
        <w:rPr>
          <w:i/>
        </w:rPr>
        <w:instrText>In re Hardacre</w:instrText>
      </w:r>
      <w:r w:rsidRPr="00525C3E">
        <w:instrText xml:space="preserve">, 338 B.R. 718 (Bankr. N.D. Tex. 2006)" \s "In re Hardacre, 338 B.R." \c 1 </w:instrText>
      </w:r>
      <w:r w:rsidRPr="00525C3E">
        <w:fldChar w:fldCharType="end"/>
      </w:r>
      <w:r w:rsidRPr="00525C3E">
        <w:t xml:space="preserve"> (“Consequently, Congress must have intended ‘projected disposable income’ to be different than ‘disposable income.’”).</w:t>
      </w:r>
    </w:p>
    <w:p w:rsidR="005B1A8B" w:rsidRPr="00525C3E" w:rsidRDefault="005B1A8B" w:rsidP="005B1A8B">
      <w:pPr>
        <w:ind w:firstLine="720"/>
        <w:rPr>
          <w:i/>
        </w:rPr>
      </w:pPr>
    </w:p>
    <w:p w:rsidR="005B1A8B" w:rsidRPr="00525C3E" w:rsidRDefault="005B1A8B" w:rsidP="005B1A8B">
      <w:pPr>
        <w:ind w:firstLine="720"/>
      </w:pPr>
      <w:r w:rsidRPr="00525C3E">
        <w:rPr>
          <w:i/>
        </w:rPr>
        <w:t>In re Gonzalez</w:t>
      </w:r>
      <w:r w:rsidRPr="00525C3E">
        <w:t xml:space="preserve">, 388 B.R. 292 (Bankr. S.D. Tex. 2008) (opining that projected disposable income is not a financial “snapshot” taken on petition date or confirmation date, but, rather is a “moving saga” requiring a court to take a “motion-picture view,” and criticizing </w:t>
      </w:r>
      <w:r w:rsidRPr="00525C3E">
        <w:rPr>
          <w:i/>
        </w:rPr>
        <w:t>Kagenveama</w:t>
      </w:r>
      <w:r w:rsidRPr="00525C3E">
        <w:t xml:space="preserve"> as ignoring the future orientation of the statutory language surrounding the projected disposable income requirements, highlighting, </w:t>
      </w:r>
      <w:r w:rsidRPr="00525C3E">
        <w:rPr>
          <w:i/>
        </w:rPr>
        <w:t>inter alia</w:t>
      </w:r>
      <w:r w:rsidRPr="00525C3E">
        <w:t>, the words “projected,” “to be expended,” and “as of the effective date of the plan,” and distinguishing between the uses of the means test expense regime found in 11 U.S.C. § 707(b)(2) in Chapter 7 and Chapter 13 cases).</w:t>
      </w:r>
    </w:p>
    <w:p w:rsidR="00C66E91" w:rsidRPr="00525C3E" w:rsidRDefault="00C66E91" w:rsidP="005B1A8B">
      <w:pPr>
        <w:ind w:firstLine="720"/>
      </w:pPr>
    </w:p>
    <w:p w:rsidR="00432674" w:rsidRPr="00525C3E" w:rsidRDefault="00432674" w:rsidP="00C66E91">
      <w:pPr>
        <w:ind w:firstLine="720"/>
      </w:pPr>
      <w:r w:rsidRPr="00525C3E">
        <w:rPr>
          <w:i/>
        </w:rPr>
        <w:t>In re Kelly</w:t>
      </w:r>
      <w:r w:rsidRPr="00525C3E">
        <w:t>,</w:t>
      </w:r>
      <w:r w:rsidR="000C03A7" w:rsidRPr="00525C3E">
        <w:t xml:space="preserve"> No. 08-14699, 2009 Bankr. LEXIS 860 (Bankr. E.D. </w:t>
      </w:r>
      <w:smartTag w:uri="urn:schemas-microsoft-com:office:smarttags" w:element="State">
        <w:smartTag w:uri="urn:schemas-microsoft-com:office:smarttags" w:element="place">
          <w:r w:rsidR="000C03A7" w:rsidRPr="00525C3E">
            <w:t>Va.</w:t>
          </w:r>
        </w:smartTag>
      </w:smartTag>
      <w:r w:rsidR="000C03A7" w:rsidRPr="00525C3E">
        <w:t xml:space="preserve"> Mar. 2, 2009)</w:t>
      </w:r>
      <w:r w:rsidRPr="00525C3E">
        <w:t xml:space="preserve"> (“When the disposable income calculation leads to a result that is seriously distorted, this court believe it is proper to take the distortion into account in determining projected disposable income. . . .” To find a result that is seriously distorted, “the magnitude of the distortion . . . [must be] sufficiently severe to justify disregarding the statutory disposable income calculation in determining projected disposable income.”).</w:t>
      </w:r>
    </w:p>
    <w:p w:rsidR="000C03A7" w:rsidRPr="00525C3E" w:rsidRDefault="000C03A7" w:rsidP="00C66E91">
      <w:pPr>
        <w:ind w:firstLine="720"/>
      </w:pPr>
    </w:p>
    <w:p w:rsidR="00C70106" w:rsidRPr="00525C3E" w:rsidRDefault="00C70106" w:rsidP="00C66E91">
      <w:pPr>
        <w:ind w:firstLine="720"/>
      </w:pPr>
      <w:r w:rsidRPr="00525C3E">
        <w:rPr>
          <w:i/>
        </w:rPr>
        <w:t>See also</w:t>
      </w:r>
      <w:r w:rsidRPr="00525C3E">
        <w:t xml:space="preserve"> </w:t>
      </w:r>
      <w:r w:rsidR="00456518" w:rsidRPr="00525C3E">
        <w:rPr>
          <w:i/>
        </w:rPr>
        <w:t>In re Wilson</w:t>
      </w:r>
      <w:r w:rsidR="00456518" w:rsidRPr="00525C3E">
        <w:t>, 397 B.</w:t>
      </w:r>
      <w:r w:rsidR="004479D3" w:rsidRPr="00525C3E">
        <w:t xml:space="preserve">R. 299 (Bankr. M.D.N.C. 2008); </w:t>
      </w:r>
      <w:r w:rsidR="00456518" w:rsidRPr="00525C3E">
        <w:rPr>
          <w:i/>
        </w:rPr>
        <w:t>In re DeThample</w:t>
      </w:r>
      <w:r w:rsidR="00456518" w:rsidRPr="00525C3E">
        <w:t xml:space="preserve">, 390 B.R. 716 (Bankr. D. </w:t>
      </w:r>
      <w:smartTag w:uri="urn:schemas-microsoft-com:office:smarttags" w:element="State">
        <w:smartTag w:uri="urn:schemas-microsoft-com:office:smarttags" w:element="place">
          <w:r w:rsidR="00456518" w:rsidRPr="00525C3E">
            <w:t>Kan.</w:t>
          </w:r>
        </w:smartTag>
      </w:smartTag>
      <w:r w:rsidR="00456518" w:rsidRPr="00525C3E">
        <w:t xml:space="preserve"> 2008);</w:t>
      </w:r>
      <w:r w:rsidR="004479D3" w:rsidRPr="00525C3E">
        <w:t xml:space="preserve"> </w:t>
      </w:r>
      <w:r w:rsidR="004479D3" w:rsidRPr="00525C3E">
        <w:rPr>
          <w:i/>
        </w:rPr>
        <w:t>In re Raulerson</w:t>
      </w:r>
      <w:r w:rsidR="004479D3" w:rsidRPr="00525C3E">
        <w:t>, 395 B.R. 157 (Bankr. M.D. Fla. 2008);</w:t>
      </w:r>
      <w:r w:rsidR="00456518" w:rsidRPr="00525C3E">
        <w:rPr>
          <w:i/>
        </w:rPr>
        <w:t xml:space="preserve"> </w:t>
      </w:r>
      <w:r w:rsidR="00750A16" w:rsidRPr="00525C3E">
        <w:rPr>
          <w:i/>
        </w:rPr>
        <w:t>In re Arsenault</w:t>
      </w:r>
      <w:r w:rsidR="00750A16" w:rsidRPr="00525C3E">
        <w:t>, 370 B.R. 845 (Bankr. M.D. Fla. 2007);</w:t>
      </w:r>
      <w:r w:rsidR="00D10C2B" w:rsidRPr="00525C3E">
        <w:t xml:space="preserve"> </w:t>
      </w:r>
      <w:r w:rsidR="00D10C2B" w:rsidRPr="00525C3E">
        <w:rPr>
          <w:i/>
        </w:rPr>
        <w:t>In re Mulally</w:t>
      </w:r>
      <w:r w:rsidR="00D10C2B" w:rsidRPr="00525C3E">
        <w:t xml:space="preserve">, No. 07-14699, 2007 Bankr. LEXIS 4363 (Bankr. S.D. </w:t>
      </w:r>
      <w:smartTag w:uri="urn:schemas-microsoft-com:office:smarttags" w:element="State">
        <w:smartTag w:uri="urn:schemas-microsoft-com:office:smarttags" w:element="place">
          <w:r w:rsidR="00D10C2B" w:rsidRPr="00525C3E">
            <w:t>Fla.</w:t>
          </w:r>
        </w:smartTag>
      </w:smartTag>
      <w:r w:rsidR="00D10C2B" w:rsidRPr="00525C3E">
        <w:t xml:space="preserve"> Dec. 19, 2007);</w:t>
      </w:r>
      <w:r w:rsidR="00750A16" w:rsidRPr="00525C3E">
        <w:rPr>
          <w:i/>
        </w:rPr>
        <w:t xml:space="preserve"> </w:t>
      </w:r>
      <w:r w:rsidR="00C66E91" w:rsidRPr="00525C3E">
        <w:rPr>
          <w:i/>
        </w:rPr>
        <w:t>In re Edmonson</w:t>
      </w:r>
      <w:r w:rsidR="00C66E91" w:rsidRPr="00525C3E">
        <w:t xml:space="preserve">, 363 B.R. 212 (Bankr. D.N.M. 2007); </w:t>
      </w:r>
      <w:r w:rsidRPr="00525C3E">
        <w:rPr>
          <w:i/>
        </w:rPr>
        <w:t>In re Demonica</w:t>
      </w:r>
      <w:r w:rsidRPr="00525C3E">
        <w:t xml:space="preserve">, 345 B.R. 895 (Bankr. N.D. </w:t>
      </w:r>
      <w:smartTag w:uri="urn:schemas-microsoft-com:office:smarttags" w:element="State">
        <w:smartTag w:uri="urn:schemas-microsoft-com:office:smarttags" w:element="place">
          <w:r w:rsidRPr="00525C3E">
            <w:t>Ill.</w:t>
          </w:r>
        </w:smartTag>
      </w:smartTag>
      <w:r w:rsidRPr="00525C3E">
        <w:t xml:space="preserve"> 2006); </w:t>
      </w:r>
      <w:r w:rsidRPr="00525C3E">
        <w:rPr>
          <w:i/>
        </w:rPr>
        <w:t>In re Casey</w:t>
      </w:r>
      <w:r w:rsidRPr="00525C3E">
        <w:t>, 356 B.R. 519 (Bankr. E.D. Wash. 2006)</w:t>
      </w:r>
      <w:r w:rsidR="00BD098B" w:rsidRPr="00525C3E">
        <w:t xml:space="preserve">; </w:t>
      </w:r>
      <w:r w:rsidR="00BD098B" w:rsidRPr="00525C3E">
        <w:rPr>
          <w:i/>
        </w:rPr>
        <w:t>In re Teixeira</w:t>
      </w:r>
      <w:r w:rsidR="00BD098B" w:rsidRPr="00525C3E">
        <w:t>, 358 B.R. 484 (Bankr. D.N.H. 2006).</w:t>
      </w:r>
    </w:p>
    <w:p w:rsidR="003470F5" w:rsidRPr="00525C3E" w:rsidRDefault="003470F5" w:rsidP="005B1A8B">
      <w:pPr>
        <w:ind w:firstLine="720"/>
      </w:pPr>
    </w:p>
    <w:p w:rsidR="008801C3" w:rsidRPr="00525C3E" w:rsidRDefault="008801C3" w:rsidP="005B1A8B">
      <w:pPr>
        <w:rPr>
          <w:b/>
          <w:i/>
        </w:rPr>
      </w:pPr>
    </w:p>
    <w:p w:rsidR="005B1A8B" w:rsidRPr="00525C3E" w:rsidRDefault="005B1A8B" w:rsidP="005B1A8B">
      <w:pPr>
        <w:rPr>
          <w:b/>
          <w:u w:val="single"/>
        </w:rPr>
      </w:pPr>
      <w:r w:rsidRPr="00525C3E">
        <w:rPr>
          <w:b/>
        </w:rPr>
        <w:tab/>
        <w:t>2.</w:t>
      </w:r>
      <w:r w:rsidRPr="00525C3E">
        <w:rPr>
          <w:b/>
        </w:rPr>
        <w:tab/>
      </w:r>
      <w:r w:rsidRPr="00525C3E">
        <w:rPr>
          <w:b/>
          <w:u w:val="single"/>
        </w:rPr>
        <w:t>Forward-Looking Income and Expenses</w:t>
      </w:r>
    </w:p>
    <w:p w:rsidR="005B1A8B" w:rsidRPr="00525C3E" w:rsidRDefault="005B1A8B" w:rsidP="005B1A8B">
      <w:pPr>
        <w:rPr>
          <w:b/>
          <w:u w:val="single"/>
        </w:rPr>
      </w:pPr>
    </w:p>
    <w:p w:rsidR="00532294" w:rsidRPr="00525C3E" w:rsidRDefault="005B1A8B" w:rsidP="005B1A8B">
      <w:pPr>
        <w:ind w:left="2160" w:hanging="720"/>
        <w:rPr>
          <w:b/>
        </w:rPr>
      </w:pPr>
      <w:r w:rsidRPr="00525C3E">
        <w:rPr>
          <w:b/>
        </w:rPr>
        <w:t>a.</w:t>
      </w:r>
      <w:r w:rsidRPr="00525C3E">
        <w:rPr>
          <w:b/>
          <w:i/>
        </w:rPr>
        <w:tab/>
      </w:r>
      <w:r w:rsidR="00532294" w:rsidRPr="00525C3E">
        <w:rPr>
          <w:b/>
          <w:i/>
        </w:rPr>
        <w:t>Coop v. Frederickson</w:t>
      </w:r>
      <w:r w:rsidR="00532294" w:rsidRPr="00525C3E">
        <w:rPr>
          <w:b/>
        </w:rPr>
        <w:t xml:space="preserve"> (</w:t>
      </w:r>
      <w:r w:rsidR="00532294" w:rsidRPr="00525C3E">
        <w:rPr>
          <w:b/>
          <w:i/>
        </w:rPr>
        <w:t>In re Frederickson</w:t>
      </w:r>
      <w:r w:rsidR="004C21AF" w:rsidRPr="00525C3E">
        <w:rPr>
          <w:b/>
        </w:rPr>
        <w:t>), 545 F.3d 652 (8th</w:t>
      </w:r>
      <w:r w:rsidR="00532294" w:rsidRPr="00525C3E">
        <w:rPr>
          <w:b/>
        </w:rPr>
        <w:t xml:space="preserve"> Cir. 2008)</w:t>
      </w:r>
      <w:r w:rsidR="001C365E" w:rsidRPr="00525C3E">
        <w:rPr>
          <w:b/>
        </w:rPr>
        <w:t xml:space="preserve">, </w:t>
      </w:r>
      <w:r w:rsidR="001C365E" w:rsidRPr="00525C3E">
        <w:rPr>
          <w:b/>
          <w:i/>
        </w:rPr>
        <w:t>cert. denied sub nom.</w:t>
      </w:r>
      <w:r w:rsidR="001C365E" w:rsidRPr="00525C3E">
        <w:rPr>
          <w:b/>
        </w:rPr>
        <w:t xml:space="preserve">, 2009 </w:t>
      </w:r>
      <w:smartTag w:uri="urn:schemas-microsoft-com:office:smarttags" w:element="country-region">
        <w:r w:rsidR="001C365E" w:rsidRPr="00525C3E">
          <w:rPr>
            <w:b/>
          </w:rPr>
          <w:t>U.S.</w:t>
        </w:r>
      </w:smartTag>
      <w:r w:rsidR="001C365E" w:rsidRPr="00525C3E">
        <w:rPr>
          <w:b/>
        </w:rPr>
        <w:t xml:space="preserve"> LEXIS 2016 (</w:t>
      </w:r>
      <w:smartTag w:uri="urn:schemas-microsoft-com:office:smarttags" w:element="country-region">
        <w:smartTag w:uri="urn:schemas-microsoft-com:office:smarttags" w:element="place">
          <w:r w:rsidR="001C365E" w:rsidRPr="00525C3E">
            <w:rPr>
              <w:b/>
            </w:rPr>
            <w:t>U.S.</w:t>
          </w:r>
        </w:smartTag>
      </w:smartTag>
      <w:r w:rsidR="001C365E" w:rsidRPr="00525C3E">
        <w:rPr>
          <w:b/>
        </w:rPr>
        <w:t xml:space="preserve"> Mar. 23, 2009)</w:t>
      </w:r>
      <w:r w:rsidR="00532294" w:rsidRPr="00525C3E">
        <w:rPr>
          <w:b/>
        </w:rPr>
        <w:t>.</w:t>
      </w:r>
    </w:p>
    <w:p w:rsidR="00532294" w:rsidRPr="00525C3E" w:rsidRDefault="00532294" w:rsidP="00532294">
      <w:pPr>
        <w:jc w:val="center"/>
      </w:pPr>
    </w:p>
    <w:p w:rsidR="00532294" w:rsidRPr="00525C3E" w:rsidRDefault="00532294" w:rsidP="00532294">
      <w:pPr>
        <w:ind w:firstLine="720"/>
      </w:pPr>
      <w:r w:rsidRPr="00525C3E">
        <w:t>In finding that the plan of a</w:t>
      </w:r>
      <w:r w:rsidR="00AA4834" w:rsidRPr="00525C3E">
        <w:t xml:space="preserve">n </w:t>
      </w:r>
      <w:r w:rsidR="00DA777F" w:rsidRPr="00525C3E">
        <w:t>“</w:t>
      </w:r>
      <w:r w:rsidR="00AA4834" w:rsidRPr="00525C3E">
        <w:t>above median</w:t>
      </w:r>
      <w:r w:rsidR="00DA777F" w:rsidRPr="00525C3E">
        <w:t>”</w:t>
      </w:r>
      <w:r w:rsidRPr="00525C3E">
        <w:t xml:space="preserve"> debtor whose projected disposable income is less than zero must extend for five years, the length of the applicable commitment period, the court determined that the calculation of projected disposable income begins with the disposable income found on Official Form 22C, but </w:t>
      </w:r>
      <w:r w:rsidR="006C1484" w:rsidRPr="00525C3E">
        <w:t xml:space="preserve">may </w:t>
      </w:r>
      <w:r w:rsidRPr="00525C3E">
        <w:t>tak</w:t>
      </w:r>
      <w:r w:rsidR="006C1484" w:rsidRPr="00525C3E">
        <w:t>e</w:t>
      </w:r>
      <w:r w:rsidRPr="00525C3E">
        <w:t xml:space="preserve"> into consideration changes in financial circumstances, </w:t>
      </w:r>
      <w:r w:rsidRPr="00525C3E">
        <w:rPr>
          <w:b/>
        </w:rPr>
        <w:t>both income and expenses</w:t>
      </w:r>
      <w:r w:rsidRPr="00525C3E">
        <w:t>.</w:t>
      </w:r>
      <w:r w:rsidR="00330D94" w:rsidRPr="00525C3E">
        <w:t xml:space="preserve"> </w:t>
      </w:r>
      <w:r w:rsidRPr="00525C3E">
        <w:t>The court resorted to two bases.</w:t>
      </w:r>
      <w:r w:rsidR="00330D94" w:rsidRPr="00525C3E">
        <w:t xml:space="preserve"> </w:t>
      </w:r>
      <w:r w:rsidRPr="00525C3E">
        <w:t xml:space="preserve">First, such an </w:t>
      </w:r>
      <w:r w:rsidRPr="00525C3E">
        <w:lastRenderedPageBreak/>
        <w:t>approach, opined the court, best comported with congressional intent.</w:t>
      </w:r>
      <w:r w:rsidR="00330D94" w:rsidRPr="00525C3E">
        <w:t xml:space="preserve"> </w:t>
      </w:r>
      <w:r w:rsidRPr="00525C3E">
        <w:t xml:space="preserve">Second, it was more closely aligned with reality, also providing a “workable” application of the disposable income test for </w:t>
      </w:r>
      <w:r w:rsidR="00DA777F" w:rsidRPr="00525C3E">
        <w:t>“</w:t>
      </w:r>
      <w:r w:rsidRPr="00525C3E">
        <w:t>above median</w:t>
      </w:r>
      <w:r w:rsidR="00DA777F" w:rsidRPr="00525C3E">
        <w:t>”</w:t>
      </w:r>
      <w:r w:rsidRPr="00525C3E">
        <w:t xml:space="preserve"> debtors with either positive or negative projected disposable income.</w:t>
      </w:r>
      <w:r w:rsidR="00330D94" w:rsidRPr="00525C3E">
        <w:t xml:space="preserve"> </w:t>
      </w:r>
      <w:r w:rsidRPr="00525C3E">
        <w:t>The court found its approach “realistically” determines a debtor’s ability to pay.</w:t>
      </w:r>
    </w:p>
    <w:p w:rsidR="00532294" w:rsidRPr="00525C3E" w:rsidRDefault="00532294" w:rsidP="00532294">
      <w:pPr>
        <w:jc w:val="center"/>
        <w:rPr>
          <w:b/>
          <w:i/>
        </w:rPr>
      </w:pPr>
    </w:p>
    <w:p w:rsidR="00532294" w:rsidRPr="00525C3E" w:rsidRDefault="005B1A8B" w:rsidP="00532294">
      <w:pPr>
        <w:ind w:firstLine="720"/>
        <w:rPr>
          <w:b/>
        </w:rPr>
      </w:pPr>
      <w:r w:rsidRPr="00525C3E">
        <w:tab/>
      </w:r>
      <w:r w:rsidRPr="00525C3E">
        <w:rPr>
          <w:b/>
        </w:rPr>
        <w:t>b.</w:t>
      </w:r>
      <w:r w:rsidRPr="00525C3E">
        <w:rPr>
          <w:b/>
        </w:rPr>
        <w:tab/>
      </w:r>
      <w:r w:rsidR="00EF4E38" w:rsidRPr="00525C3E">
        <w:rPr>
          <w:b/>
          <w:i/>
        </w:rPr>
        <w:t>In re Petro</w:t>
      </w:r>
      <w:r w:rsidR="00EF4E38" w:rsidRPr="00525C3E">
        <w:rPr>
          <w:b/>
        </w:rPr>
        <w:t>, 395 B.R. 369 (B.A.P. 6th Cir. 2008).</w:t>
      </w:r>
    </w:p>
    <w:p w:rsidR="005A0EAD" w:rsidRPr="00525C3E" w:rsidRDefault="005A0EAD" w:rsidP="006B386B">
      <w:pPr>
        <w:ind w:firstLine="720"/>
      </w:pPr>
    </w:p>
    <w:p w:rsidR="00EF4E38" w:rsidRPr="00525C3E" w:rsidRDefault="00EF4E38" w:rsidP="006B386B">
      <w:pPr>
        <w:ind w:firstLine="720"/>
      </w:pPr>
      <w:r w:rsidRPr="00525C3E">
        <w:t xml:space="preserve">In </w:t>
      </w:r>
      <w:r w:rsidRPr="00525C3E">
        <w:rPr>
          <w:i/>
        </w:rPr>
        <w:t>In re Petro</w:t>
      </w:r>
      <w:r w:rsidRPr="00525C3E">
        <w:t>, 395 B.R. 369, 377 (B.A.P. 6th Cir. 2008)</w:t>
      </w:r>
      <w:r w:rsidR="005A0EAD" w:rsidRPr="00525C3E">
        <w:t>, the Bankruptcy Appellate Panel</w:t>
      </w:r>
      <w:r w:rsidRPr="00525C3E">
        <w:t xml:space="preserve"> reversed the bankruptcy court’s </w:t>
      </w:r>
      <w:r w:rsidR="006B386B" w:rsidRPr="00525C3E">
        <w:t>holding that projected disposable income should be calculated under the mechanical approach. The Panel read the applicable provisions “in light of its purpose or in a manner that gives effect to every word and clause.” In doing so, the Panel found that the “mechanical approach ignores the policy behind the amendments to this section of the Bankruptcy Code and the remedial nature of the code, generally.” In order to properly calculate projected disposable income, courts must “focus[] on the reality of a debtor’s income and expenses as of confirmation.”</w:t>
      </w:r>
      <w:r w:rsidR="00443F02" w:rsidRPr="00525C3E">
        <w:t xml:space="preserve"> The Panel notes a starting point may be Schedules and J, but also points that these forms only “capture a snapshot as of the date of filing for relief.” Thus, the Panel ultimately suggests that “[a] debtor’s projected disposable income should be calculated based on the realities of the debtor’s circumstances as of confirmation and as reasonably anticipated to be during the length of the plan.”</w:t>
      </w:r>
    </w:p>
    <w:p w:rsidR="00B14608" w:rsidRPr="00525C3E" w:rsidRDefault="00B14608" w:rsidP="006B386B">
      <w:pPr>
        <w:ind w:firstLine="720"/>
      </w:pPr>
    </w:p>
    <w:p w:rsidR="00B14608" w:rsidRPr="00525C3E" w:rsidRDefault="00CB6BA2" w:rsidP="003D659E">
      <w:pPr>
        <w:ind w:left="2160" w:hanging="720"/>
      </w:pPr>
      <w:r w:rsidRPr="00525C3E">
        <w:rPr>
          <w:b/>
        </w:rPr>
        <w:t>c</w:t>
      </w:r>
      <w:r w:rsidR="00B14608" w:rsidRPr="00525C3E">
        <w:rPr>
          <w:b/>
        </w:rPr>
        <w:t>.</w:t>
      </w:r>
      <w:r w:rsidR="00B14608" w:rsidRPr="00525C3E">
        <w:rPr>
          <w:b/>
        </w:rPr>
        <w:tab/>
      </w:r>
      <w:r w:rsidR="00B14608" w:rsidRPr="00525C3E">
        <w:rPr>
          <w:b/>
          <w:i/>
        </w:rPr>
        <w:t>In re Nowlin</w:t>
      </w:r>
      <w:r w:rsidR="00B14608" w:rsidRPr="00525C3E">
        <w:rPr>
          <w:b/>
        </w:rPr>
        <w:t xml:space="preserve">, No. 08-20066, 2009 </w:t>
      </w:r>
      <w:smartTag w:uri="urn:schemas-microsoft-com:office:smarttags" w:element="country-region">
        <w:smartTag w:uri="urn:schemas-microsoft-com:office:smarttags" w:element="place">
          <w:r w:rsidR="00B14608" w:rsidRPr="00525C3E">
            <w:rPr>
              <w:b/>
            </w:rPr>
            <w:t>U.S.</w:t>
          </w:r>
        </w:smartTag>
      </w:smartTag>
      <w:r w:rsidR="00B14608" w:rsidRPr="00525C3E">
        <w:rPr>
          <w:b/>
        </w:rPr>
        <w:t xml:space="preserve"> App. LEXIS 15860 (5th Cir. July 17, 2009).</w:t>
      </w:r>
    </w:p>
    <w:p w:rsidR="00B14608" w:rsidRPr="00525C3E" w:rsidRDefault="00B14608" w:rsidP="006B386B">
      <w:pPr>
        <w:ind w:firstLine="720"/>
      </w:pPr>
    </w:p>
    <w:p w:rsidR="00B14608" w:rsidRPr="00525C3E" w:rsidRDefault="00B14608" w:rsidP="006B386B">
      <w:pPr>
        <w:ind w:firstLine="720"/>
      </w:pPr>
      <w:r w:rsidRPr="00525C3E">
        <w:t xml:space="preserve">In </w:t>
      </w:r>
      <w:r w:rsidRPr="00525C3E">
        <w:rPr>
          <w:i/>
        </w:rPr>
        <w:t>Nowlin</w:t>
      </w:r>
      <w:r w:rsidRPr="00525C3E">
        <w:t>, the Court of Appeals for the Fifth Circuit affirmed the bankruptcy and district courts in denying confirmation, finding that projected disposable income is presumed to consist of disposable income “mechanically projected into the future for the duration of the plan.” This presumption may be rebutted by any party that evidences “present or reasonably certain future events that substantially change the debtor’s financial situation” and relates to both income and expenses.</w:t>
      </w:r>
    </w:p>
    <w:p w:rsidR="00956746" w:rsidRPr="00525C3E" w:rsidRDefault="00956746" w:rsidP="00956746">
      <w:pPr>
        <w:ind w:firstLine="720"/>
        <w:rPr>
          <w:i/>
        </w:rPr>
      </w:pPr>
    </w:p>
    <w:p w:rsidR="00956746" w:rsidRPr="00525C3E" w:rsidRDefault="00956746" w:rsidP="00956746">
      <w:pPr>
        <w:ind w:firstLine="720"/>
      </w:pPr>
      <w:r w:rsidRPr="00525C3E">
        <w:rPr>
          <w:i/>
        </w:rPr>
        <w:t>See also</w:t>
      </w:r>
      <w:r w:rsidRPr="00525C3E">
        <w:t xml:space="preserve"> </w:t>
      </w:r>
      <w:r w:rsidRPr="00525C3E">
        <w:rPr>
          <w:i/>
        </w:rPr>
        <w:t>Baud v. Carroll</w:t>
      </w:r>
      <w:r w:rsidRPr="00525C3E">
        <w:t xml:space="preserve">, No. 09-10673, 2009 U.S. Dist. LEXIS 79475 (E.D. Mich. Sept. 3, 2009) (following </w:t>
      </w:r>
      <w:r w:rsidRPr="00525C3E">
        <w:rPr>
          <w:i/>
        </w:rPr>
        <w:t>Lanning</w:t>
      </w:r>
      <w:r w:rsidRPr="00525C3E">
        <w:t xml:space="preserve"> and finding that disposable income is presumptively correct calculation of projected disposable income but that presumption may be rebutted with evidence of change in circumstances affecting or likely to affect disposable income post-confirmation and renders disposable income an inaccurate predictor of disposable income during the applicable commitment period).</w:t>
      </w:r>
    </w:p>
    <w:p w:rsidR="00956746" w:rsidRPr="00525C3E" w:rsidRDefault="00956746" w:rsidP="006B386B">
      <w:pPr>
        <w:ind w:firstLine="720"/>
      </w:pPr>
    </w:p>
    <w:p w:rsidR="00EF4E38" w:rsidRPr="00525C3E" w:rsidRDefault="00EF4E38" w:rsidP="00532294">
      <w:pPr>
        <w:ind w:firstLine="720"/>
        <w:rPr>
          <w:b/>
          <w:u w:val="single"/>
        </w:rPr>
      </w:pPr>
    </w:p>
    <w:p w:rsidR="008D5E9A" w:rsidRPr="00525C3E" w:rsidRDefault="005B1A8B" w:rsidP="005B1A8B">
      <w:pPr>
        <w:rPr>
          <w:b/>
          <w:u w:val="single"/>
        </w:rPr>
      </w:pPr>
      <w:r w:rsidRPr="00525C3E">
        <w:tab/>
      </w:r>
      <w:r w:rsidRPr="00525C3E">
        <w:tab/>
      </w:r>
      <w:r w:rsidR="00B14608" w:rsidRPr="00525C3E">
        <w:rPr>
          <w:b/>
        </w:rPr>
        <w:t>d</w:t>
      </w:r>
      <w:r w:rsidRPr="00525C3E">
        <w:rPr>
          <w:b/>
        </w:rPr>
        <w:t>.</w:t>
      </w:r>
      <w:r w:rsidRPr="00525C3E">
        <w:rPr>
          <w:b/>
        </w:rPr>
        <w:tab/>
      </w:r>
      <w:r w:rsidRPr="00525C3E">
        <w:rPr>
          <w:b/>
          <w:u w:val="single"/>
        </w:rPr>
        <w:t>Bankruptcy Court Review</w:t>
      </w:r>
    </w:p>
    <w:p w:rsidR="008D5E9A" w:rsidRPr="00525C3E" w:rsidRDefault="008D5E9A" w:rsidP="0023084F">
      <w:pPr>
        <w:ind w:firstLine="720"/>
        <w:rPr>
          <w:i/>
        </w:rPr>
      </w:pPr>
    </w:p>
    <w:p w:rsidR="0023084F" w:rsidRPr="00525C3E" w:rsidRDefault="00434F44" w:rsidP="0023084F">
      <w:pPr>
        <w:ind w:firstLine="720"/>
      </w:pPr>
      <w:r w:rsidRPr="00525C3E">
        <w:t xml:space="preserve">In </w:t>
      </w:r>
      <w:r w:rsidR="0023084F" w:rsidRPr="00525C3E">
        <w:rPr>
          <w:i/>
        </w:rPr>
        <w:t>In re Jass</w:t>
      </w:r>
      <w:r w:rsidR="0023084F" w:rsidRPr="00525C3E">
        <w:t>, 340 B.R. 411, 416-18 (Bankr. D. Utah 2006)</w:t>
      </w:r>
      <w:r w:rsidR="0023084F" w:rsidRPr="00525C3E">
        <w:fldChar w:fldCharType="begin"/>
      </w:r>
      <w:r w:rsidR="0023084F" w:rsidRPr="00525C3E">
        <w:instrText xml:space="preserve"> TA \l "</w:instrText>
      </w:r>
      <w:r w:rsidR="0023084F" w:rsidRPr="00525C3E">
        <w:rPr>
          <w:i/>
        </w:rPr>
        <w:instrText>In re Jass</w:instrText>
      </w:r>
      <w:r w:rsidR="0023084F" w:rsidRPr="00525C3E">
        <w:instrText xml:space="preserve">, 340 B.R. 411 (Bankr. D. Utah 2006)" \s "In re Jass, 340 B.R." \c 1 </w:instrText>
      </w:r>
      <w:r w:rsidR="0023084F" w:rsidRPr="00525C3E">
        <w:fldChar w:fldCharType="end"/>
      </w:r>
      <w:r w:rsidRPr="00525C3E">
        <w:t>, t</w:t>
      </w:r>
      <w:r w:rsidR="0023084F" w:rsidRPr="00525C3E">
        <w:t>he court</w:t>
      </w:r>
      <w:r w:rsidRPr="00525C3E">
        <w:t xml:space="preserve"> found</w:t>
      </w:r>
      <w:r w:rsidR="0023084F" w:rsidRPr="00525C3E">
        <w:t xml:space="preserve"> support for its statutory interpretation in its analysis of Congress’ intent for a differentiation between “projected disposable income” and “disposable income” in its showing that such differentiation furthers the public policy goals of bankruptcy, and by showing that it avoids the surplusage construction attendant with equating the two.</w:t>
      </w:r>
    </w:p>
    <w:p w:rsidR="0063656A" w:rsidRPr="00525C3E" w:rsidRDefault="0063656A" w:rsidP="0023084F">
      <w:pPr>
        <w:ind w:firstLine="720"/>
      </w:pPr>
    </w:p>
    <w:p w:rsidR="0063656A" w:rsidRPr="00525C3E" w:rsidRDefault="0063656A" w:rsidP="0063656A">
      <w:r w:rsidRPr="00525C3E">
        <w:rPr>
          <w:i/>
        </w:rPr>
        <w:lastRenderedPageBreak/>
        <w:tab/>
      </w:r>
      <w:r w:rsidRPr="00525C3E">
        <w:t xml:space="preserve">In </w:t>
      </w:r>
      <w:r w:rsidRPr="00525C3E">
        <w:rPr>
          <w:i/>
        </w:rPr>
        <w:t>In re Johnson</w:t>
      </w:r>
      <w:r w:rsidRPr="00525C3E">
        <w:t xml:space="preserve">, 400 B.R. 639 (Bankr. N.D. Ill. 2009), </w:t>
      </w:r>
      <w:r w:rsidR="000968E4" w:rsidRPr="00525C3E">
        <w:t xml:space="preserve">in rejecting the “conclusive” and the “presumptive” approaches, </w:t>
      </w:r>
      <w:r w:rsidRPr="00525C3E">
        <w:t xml:space="preserve">the court </w:t>
      </w:r>
      <w:r w:rsidR="000968E4" w:rsidRPr="00525C3E">
        <w:t xml:space="preserve">created a new </w:t>
      </w:r>
      <w:r w:rsidRPr="00525C3E">
        <w:t>“harmonizing” approach to</w:t>
      </w:r>
      <w:r w:rsidR="00CF716A" w:rsidRPr="00525C3E">
        <w:t xml:space="preserve"> the calculation of</w:t>
      </w:r>
      <w:r w:rsidRPr="00525C3E">
        <w:t xml:space="preserve"> projected disposable income. Under th</w:t>
      </w:r>
      <w:r w:rsidR="000968E4" w:rsidRPr="00525C3E">
        <w:t xml:space="preserve">is </w:t>
      </w:r>
      <w:r w:rsidRPr="00525C3E">
        <w:t xml:space="preserve">“harmonizing” approach, debtors </w:t>
      </w:r>
      <w:r w:rsidR="000968E4" w:rsidRPr="00525C3E">
        <w:t xml:space="preserve">must account for post-petition changes in income to </w:t>
      </w:r>
      <w:r w:rsidR="00911FD3" w:rsidRPr="00525C3E">
        <w:t>calculate the</w:t>
      </w:r>
      <w:r w:rsidR="000968E4" w:rsidRPr="00525C3E">
        <w:t xml:space="preserve"> </w:t>
      </w:r>
      <w:r w:rsidRPr="00525C3E">
        <w:t>projected disposable income</w:t>
      </w:r>
      <w:r w:rsidR="00B434C4" w:rsidRPr="00525C3E">
        <w:t xml:space="preserve"> figure by adjusting</w:t>
      </w:r>
      <w:r w:rsidRPr="00525C3E">
        <w:t xml:space="preserve"> for anticipated changes to CMI </w:t>
      </w:r>
      <w:r w:rsidR="000968E4" w:rsidRPr="00525C3E">
        <w:t>(</w:t>
      </w:r>
      <w:r w:rsidRPr="00525C3E">
        <w:t>and expenses</w:t>
      </w:r>
      <w:r w:rsidR="000968E4" w:rsidRPr="00525C3E">
        <w:t>)</w:t>
      </w:r>
      <w:r w:rsidR="00B434C4" w:rsidRPr="00525C3E">
        <w:t xml:space="preserve"> that are both</w:t>
      </w:r>
      <w:r w:rsidRPr="00525C3E">
        <w:t xml:space="preserve"> allowed and anticipated to take place during applicable commitment period. </w:t>
      </w:r>
    </w:p>
    <w:p w:rsidR="00FB3498" w:rsidRPr="00525C3E" w:rsidRDefault="00FB3498" w:rsidP="0023084F">
      <w:pPr>
        <w:ind w:firstLine="720"/>
      </w:pPr>
    </w:p>
    <w:p w:rsidR="00FB3498" w:rsidRPr="00525C3E" w:rsidRDefault="00FB3498" w:rsidP="0023084F">
      <w:pPr>
        <w:ind w:firstLine="720"/>
      </w:pPr>
      <w:r w:rsidRPr="00525C3E">
        <w:rPr>
          <w:i/>
        </w:rPr>
        <w:t>See also</w:t>
      </w:r>
      <w:r w:rsidR="00B43403" w:rsidRPr="00525C3E">
        <w:rPr>
          <w:i/>
        </w:rPr>
        <w:t xml:space="preserve"> In re Liverman</w:t>
      </w:r>
      <w:r w:rsidR="00B43403" w:rsidRPr="00525C3E">
        <w:t>, 383 B.R. 604 (Bankr. D.N.J. 2008);</w:t>
      </w:r>
      <w:r w:rsidR="00924CA4" w:rsidRPr="00525C3E">
        <w:rPr>
          <w:i/>
        </w:rPr>
        <w:t xml:space="preserve"> </w:t>
      </w:r>
      <w:r w:rsidR="00C155F8" w:rsidRPr="00525C3E">
        <w:rPr>
          <w:i/>
        </w:rPr>
        <w:t>In re Foster</w:t>
      </w:r>
      <w:r w:rsidR="00C155F8" w:rsidRPr="00525C3E">
        <w:t xml:space="preserve">, No. 06-68298, 2007 Bankr. LEXIS 2192 (Bankr. N.D. </w:t>
      </w:r>
      <w:smartTag w:uri="urn:schemas-microsoft-com:office:smarttags" w:element="State">
        <w:smartTag w:uri="urn:schemas-microsoft-com:office:smarttags" w:element="place">
          <w:r w:rsidR="00C155F8" w:rsidRPr="00525C3E">
            <w:t>Ga.</w:t>
          </w:r>
        </w:smartTag>
      </w:smartTag>
      <w:r w:rsidR="00C155F8" w:rsidRPr="00525C3E">
        <w:t xml:space="preserve"> May 7, 2007);</w:t>
      </w:r>
      <w:r w:rsidR="00C155F8" w:rsidRPr="00525C3E">
        <w:rPr>
          <w:i/>
        </w:rPr>
        <w:t xml:space="preserve"> </w:t>
      </w:r>
      <w:r w:rsidR="00924CA4" w:rsidRPr="00525C3E">
        <w:rPr>
          <w:i/>
        </w:rPr>
        <w:t>In re Slusher</w:t>
      </w:r>
      <w:r w:rsidR="00924CA4" w:rsidRPr="00525C3E">
        <w:t xml:space="preserve">, 359 B.R. 290 (Bankr. D. </w:t>
      </w:r>
      <w:smartTag w:uri="urn:schemas-microsoft-com:office:smarttags" w:element="State">
        <w:smartTag w:uri="urn:schemas-microsoft-com:office:smarttags" w:element="place">
          <w:r w:rsidR="00924CA4" w:rsidRPr="00525C3E">
            <w:t>Nev.</w:t>
          </w:r>
        </w:smartTag>
      </w:smartTag>
      <w:r w:rsidR="00924CA4" w:rsidRPr="00525C3E">
        <w:t xml:space="preserve"> 2007);</w:t>
      </w:r>
      <w:r w:rsidR="00D80BDB" w:rsidRPr="00525C3E">
        <w:t xml:space="preserve"> </w:t>
      </w:r>
      <w:r w:rsidR="00D80BDB" w:rsidRPr="00525C3E">
        <w:rPr>
          <w:i/>
        </w:rPr>
        <w:t>In re Laplana</w:t>
      </w:r>
      <w:r w:rsidR="00D80BDB" w:rsidRPr="00525C3E">
        <w:t>, 363 B.R. 259 (Bankr. M.D. Fla. 2007);</w:t>
      </w:r>
      <w:r w:rsidR="00C66E91" w:rsidRPr="00525C3E">
        <w:t xml:space="preserve"> </w:t>
      </w:r>
      <w:r w:rsidR="00C66E91" w:rsidRPr="00525C3E">
        <w:rPr>
          <w:i/>
        </w:rPr>
        <w:t>In re Riggs</w:t>
      </w:r>
      <w:r w:rsidR="00C66E91" w:rsidRPr="00525C3E">
        <w:t>, 359 B.R. 649 (Bankr. E.D. Ky. 2007);</w:t>
      </w:r>
      <w:r w:rsidRPr="00525C3E">
        <w:t xml:space="preserve"> </w:t>
      </w:r>
      <w:r w:rsidRPr="00525C3E">
        <w:rPr>
          <w:i/>
        </w:rPr>
        <w:t>In re Grady</w:t>
      </w:r>
      <w:r w:rsidRPr="00525C3E">
        <w:t xml:space="preserve">, 343 B.R. 747 (Bankr. N.D. </w:t>
      </w:r>
      <w:smartTag w:uri="urn:schemas-microsoft-com:office:smarttags" w:element="State">
        <w:smartTag w:uri="urn:schemas-microsoft-com:office:smarttags" w:element="place">
          <w:r w:rsidRPr="00525C3E">
            <w:t>Ga.</w:t>
          </w:r>
        </w:smartTag>
      </w:smartTag>
      <w:r w:rsidRPr="00525C3E">
        <w:t xml:space="preserve"> 2006)</w:t>
      </w:r>
      <w:r w:rsidR="00924CA4" w:rsidRPr="00525C3E">
        <w:t>.</w:t>
      </w:r>
    </w:p>
    <w:p w:rsidR="00F25702" w:rsidRPr="00525C3E" w:rsidRDefault="0041114C" w:rsidP="0041114C">
      <w:pPr>
        <w:pStyle w:val="Heading2"/>
        <w:numPr>
          <w:ilvl w:val="0"/>
          <w:numId w:val="0"/>
        </w:numPr>
        <w:rPr>
          <w:rFonts w:ascii="Times New Roman" w:hAnsi="Times New Roman"/>
          <w:i w:val="0"/>
          <w:sz w:val="24"/>
          <w:u w:val="single"/>
        </w:rPr>
      </w:pPr>
      <w:r w:rsidRPr="00525C3E">
        <w:rPr>
          <w:rFonts w:ascii="Times New Roman" w:hAnsi="Times New Roman"/>
          <w:i w:val="0"/>
          <w:sz w:val="24"/>
        </w:rPr>
        <w:t>C.</w:t>
      </w:r>
      <w:r w:rsidRPr="00525C3E">
        <w:rPr>
          <w:rFonts w:ascii="Times New Roman" w:hAnsi="Times New Roman"/>
          <w:i w:val="0"/>
          <w:sz w:val="24"/>
        </w:rPr>
        <w:tab/>
      </w:r>
      <w:r w:rsidR="009F646E" w:rsidRPr="00525C3E">
        <w:rPr>
          <w:rFonts w:ascii="Times New Roman" w:hAnsi="Times New Roman"/>
          <w:i w:val="0"/>
          <w:sz w:val="24"/>
          <w:u w:val="single"/>
        </w:rPr>
        <w:t>Expenses</w:t>
      </w:r>
      <w:r w:rsidR="00631A49" w:rsidRPr="00525C3E">
        <w:rPr>
          <w:rFonts w:ascii="Times New Roman" w:hAnsi="Times New Roman"/>
          <w:i w:val="0"/>
          <w:sz w:val="24"/>
          <w:u w:val="single"/>
        </w:rPr>
        <w:t xml:space="preserve"> Issues Arising Under BAPCPA</w:t>
      </w:r>
    </w:p>
    <w:p w:rsidR="00F52476" w:rsidRPr="00525C3E" w:rsidRDefault="004B518C" w:rsidP="000A0F94">
      <w:pPr>
        <w:pStyle w:val="Heading2"/>
        <w:numPr>
          <w:ilvl w:val="0"/>
          <w:numId w:val="0"/>
        </w:numPr>
        <w:ind w:left="720"/>
        <w:rPr>
          <w:rFonts w:ascii="Times New Roman" w:hAnsi="Times New Roman"/>
          <w:i w:val="0"/>
          <w:sz w:val="24"/>
        </w:rPr>
      </w:pPr>
      <w:r w:rsidRPr="00525C3E">
        <w:rPr>
          <w:rFonts w:ascii="Times New Roman" w:hAnsi="Times New Roman"/>
          <w:i w:val="0"/>
          <w:sz w:val="24"/>
        </w:rPr>
        <w:t>1.</w:t>
      </w:r>
      <w:r w:rsidRPr="00525C3E">
        <w:rPr>
          <w:rFonts w:ascii="Times New Roman" w:hAnsi="Times New Roman"/>
          <w:i w:val="0"/>
          <w:sz w:val="24"/>
        </w:rPr>
        <w:tab/>
      </w:r>
      <w:r w:rsidR="00F52476" w:rsidRPr="00525C3E">
        <w:rPr>
          <w:rFonts w:ascii="Times New Roman" w:hAnsi="Times New Roman"/>
          <w:i w:val="0"/>
          <w:sz w:val="24"/>
        </w:rPr>
        <w:t xml:space="preserve">Expenses </w:t>
      </w:r>
      <w:r w:rsidR="008D5E9A" w:rsidRPr="00525C3E">
        <w:rPr>
          <w:rFonts w:ascii="Times New Roman" w:hAnsi="Times New Roman"/>
          <w:i w:val="0"/>
          <w:sz w:val="24"/>
        </w:rPr>
        <w:t>Must be Reasonably Necessary, P</w:t>
      </w:r>
      <w:r w:rsidR="00F52476" w:rsidRPr="00525C3E">
        <w:rPr>
          <w:rFonts w:ascii="Times New Roman" w:hAnsi="Times New Roman"/>
          <w:i w:val="0"/>
          <w:sz w:val="24"/>
        </w:rPr>
        <w:t>ursuant to 11 U.S.C. § 1325(b)(2)</w:t>
      </w:r>
    </w:p>
    <w:p w:rsidR="0025679D" w:rsidRPr="00525C3E" w:rsidRDefault="0025679D" w:rsidP="0025679D"/>
    <w:p w:rsidR="00C8254B" w:rsidRPr="00525C3E" w:rsidRDefault="00C8254B" w:rsidP="009A1307">
      <w:pPr>
        <w:ind w:firstLine="720"/>
      </w:pPr>
      <w:r w:rsidRPr="00525C3E">
        <w:t>Section § 1325(b)(2) provides that debtors</w:t>
      </w:r>
      <w:r w:rsidR="00B20A02" w:rsidRPr="00525C3E">
        <w:t xml:space="preserve"> are to</w:t>
      </w:r>
      <w:r w:rsidRPr="00525C3E">
        <w:t xml:space="preserve"> deduct only “amounts reasonably necessary to be expended” from their income to arrive at disposable income.</w:t>
      </w:r>
    </w:p>
    <w:p w:rsidR="00C8254B" w:rsidRPr="00525C3E" w:rsidRDefault="00C8254B" w:rsidP="009A1307">
      <w:pPr>
        <w:ind w:firstLine="720"/>
        <w:rPr>
          <w:i/>
        </w:rPr>
      </w:pPr>
    </w:p>
    <w:p w:rsidR="0025679D" w:rsidRPr="00525C3E" w:rsidRDefault="0025679D" w:rsidP="009A1307">
      <w:pPr>
        <w:ind w:firstLine="720"/>
      </w:pPr>
      <w:r w:rsidRPr="00525C3E">
        <w:rPr>
          <w:i/>
        </w:rPr>
        <w:t>In re McGillis</w:t>
      </w:r>
      <w:r w:rsidRPr="00525C3E">
        <w:t>, 370 B.R. 720, 727, 729-30 (Bankr. W.D. Mich. 2007)</w:t>
      </w:r>
      <w:r w:rsidRPr="00525C3E">
        <w:fldChar w:fldCharType="begin"/>
      </w:r>
      <w:r w:rsidRPr="00525C3E">
        <w:instrText xml:space="preserve"> TA \l "</w:instrText>
      </w:r>
      <w:r w:rsidRPr="00525C3E">
        <w:rPr>
          <w:bCs/>
          <w:i/>
        </w:rPr>
        <w:instrText>In re McGillis</w:instrText>
      </w:r>
      <w:r w:rsidRPr="00525C3E">
        <w:rPr>
          <w:bCs/>
        </w:rPr>
        <w:instrText xml:space="preserve">, </w:instrText>
      </w:r>
      <w:r w:rsidRPr="00525C3E">
        <w:rPr>
          <w:bCs/>
          <w:iCs/>
        </w:rPr>
        <w:instrText>370 B.R. 720 (Bankr. W.D. Mich. 2007)</w:instrText>
      </w:r>
      <w:r w:rsidRPr="00525C3E">
        <w:instrText xml:space="preserve">" \s "McGillis, 370 B.R." </w:instrText>
      </w:r>
      <w:r w:rsidRPr="00525C3E">
        <w:fldChar w:fldCharType="end"/>
      </w:r>
      <w:r w:rsidRPr="00525C3E">
        <w:t xml:space="preserve"> (opining, in denying confirmation of the debtors’ plan, that they may not expense payments relating to real property, </w:t>
      </w:r>
      <w:r w:rsidRPr="00525C3E">
        <w:rPr>
          <w:i/>
        </w:rPr>
        <w:t>i.e.</w:t>
      </w:r>
      <w:r w:rsidRPr="00525C3E">
        <w:t xml:space="preserve">, a timeshare and a second mortgage, which they would not actually be making under their plan </w:t>
      </w:r>
      <w:r w:rsidR="0025022B" w:rsidRPr="00525C3E">
        <w:t xml:space="preserve">as the timeshare was to be surrendered and the second mortgage was to be avoided, </w:t>
      </w:r>
      <w:r w:rsidRPr="00525C3E">
        <w:t>because such payments did not accord with 11 U.S.C. § 1325(b)(3)</w:t>
      </w:r>
      <w:r w:rsidRPr="00525C3E">
        <w:fldChar w:fldCharType="begin"/>
      </w:r>
      <w:r w:rsidRPr="00525C3E">
        <w:instrText xml:space="preserve"> TA \s "11 U.S.C. § 1325(b)" </w:instrText>
      </w:r>
      <w:r w:rsidRPr="00525C3E">
        <w:fldChar w:fldCharType="end"/>
      </w:r>
      <w:r w:rsidRPr="00525C3E">
        <w:t xml:space="preserve">’s requirement of reasonable necessity, and because “amounts claimed as expenses under </w:t>
      </w:r>
      <w:r w:rsidRPr="00525C3E">
        <w:rPr>
          <w:i/>
        </w:rPr>
        <w:t>Section 1325(b)(3)</w:t>
      </w:r>
      <w:r w:rsidRPr="00525C3E">
        <w:t xml:space="preserve"> must in fact be ultimately expended.”)</w:t>
      </w:r>
      <w:r w:rsidR="00B40F9F" w:rsidRPr="00525C3E">
        <w:t>.</w:t>
      </w:r>
    </w:p>
    <w:p w:rsidR="004632B6" w:rsidRPr="00525C3E" w:rsidRDefault="004632B6" w:rsidP="009A1307">
      <w:pPr>
        <w:ind w:firstLine="720"/>
      </w:pPr>
    </w:p>
    <w:p w:rsidR="009C4601" w:rsidRPr="00525C3E" w:rsidRDefault="00EB1E04" w:rsidP="004632B6">
      <w:pPr>
        <w:ind w:firstLine="720"/>
      </w:pPr>
      <w:r w:rsidRPr="00525C3E">
        <w:rPr>
          <w:i/>
        </w:rPr>
        <w:t xml:space="preserve">See also </w:t>
      </w:r>
      <w:r w:rsidR="004632B6" w:rsidRPr="00525C3E">
        <w:rPr>
          <w:i/>
        </w:rPr>
        <w:t>In re Long</w:t>
      </w:r>
      <w:r w:rsidR="004632B6" w:rsidRPr="00525C3E">
        <w:t xml:space="preserve">, 390 B.R. 581 (Bankr. E.D. Tex. 2008) (following </w:t>
      </w:r>
      <w:r w:rsidR="004632B6" w:rsidRPr="00525C3E">
        <w:rPr>
          <w:i/>
        </w:rPr>
        <w:t>McGillis</w:t>
      </w:r>
      <w:r w:rsidR="004632B6" w:rsidRPr="00525C3E">
        <w:t xml:space="preserve"> and holding that standards in § 707(b)(2)(A) act as guidelines or limits </w:t>
      </w:r>
      <w:r w:rsidR="00A84889" w:rsidRPr="00525C3E">
        <w:t>on what is reasonably necessary</w:t>
      </w:r>
      <w:r w:rsidR="004632B6" w:rsidRPr="00525C3E">
        <w:t xml:space="preserve"> but are not definition of what is reasonably necessary);</w:t>
      </w:r>
      <w:r w:rsidR="004632B6" w:rsidRPr="00525C3E">
        <w:rPr>
          <w:i/>
        </w:rPr>
        <w:t xml:space="preserve"> </w:t>
      </w:r>
      <w:r w:rsidR="009A1307" w:rsidRPr="00525C3E">
        <w:rPr>
          <w:i/>
        </w:rPr>
        <w:t>In re Hoss</w:t>
      </w:r>
      <w:r w:rsidR="009A1307" w:rsidRPr="00525C3E">
        <w:t xml:space="preserve">, 392 B.R. 463 (Bankr. D. </w:t>
      </w:r>
      <w:smartTag w:uri="urn:schemas-microsoft-com:office:smarttags" w:element="State">
        <w:smartTag w:uri="urn:schemas-microsoft-com:office:smarttags" w:element="place">
          <w:r w:rsidR="009A1307" w:rsidRPr="00525C3E">
            <w:t>Kan.</w:t>
          </w:r>
        </w:smartTag>
      </w:smartTag>
      <w:r w:rsidR="009A1307" w:rsidRPr="00525C3E">
        <w:t xml:space="preserve"> 2008) (citing </w:t>
      </w:r>
      <w:r w:rsidR="009A1307" w:rsidRPr="00525C3E">
        <w:rPr>
          <w:i/>
        </w:rPr>
        <w:t>McGillis</w:t>
      </w:r>
      <w:r w:rsidR="009A1307" w:rsidRPr="00525C3E">
        <w:t xml:space="preserve"> and opining that “</w:t>
      </w:r>
      <w:r w:rsidR="008D5E9A" w:rsidRPr="00525C3E">
        <w:t>[t]</w:t>
      </w:r>
      <w:r w:rsidR="009A1307" w:rsidRPr="00525C3E">
        <w:t>he expense amounts deductible from current monthly income under § 1325(b)(2) are also modified by the phrase ‘reasonably necessary . . . for the maintenance or support of the debtor . . .’”)</w:t>
      </w:r>
      <w:r w:rsidRPr="00525C3E">
        <w:t xml:space="preserve">; </w:t>
      </w:r>
      <w:r w:rsidR="009A1307" w:rsidRPr="00525C3E">
        <w:rPr>
          <w:i/>
        </w:rPr>
        <w:t>In re Koch</w:t>
      </w:r>
      <w:r w:rsidR="009A1307" w:rsidRPr="00525C3E">
        <w:t>, 391 B.R. 2</w:t>
      </w:r>
      <w:r w:rsidR="008D5E9A" w:rsidRPr="00525C3E">
        <w:t>30 (Bankr. N.D.N.Y. 2008) (</w:t>
      </w:r>
      <w:r w:rsidR="009A1307" w:rsidRPr="00525C3E">
        <w:t>citing</w:t>
      </w:r>
      <w:r w:rsidR="009A1307" w:rsidRPr="00525C3E">
        <w:rPr>
          <w:i/>
        </w:rPr>
        <w:t xml:space="preserve"> McGillis</w:t>
      </w:r>
      <w:r w:rsidR="008D5E9A" w:rsidRPr="00525C3E">
        <w:t>)</w:t>
      </w:r>
      <w:r w:rsidR="00DA41DE" w:rsidRPr="00525C3E">
        <w:t>;</w:t>
      </w:r>
      <w:r w:rsidR="00DA41DE" w:rsidRPr="00525C3E">
        <w:rPr>
          <w:i/>
        </w:rPr>
        <w:t xml:space="preserve"> </w:t>
      </w:r>
      <w:r w:rsidR="0081258D" w:rsidRPr="00525C3E">
        <w:rPr>
          <w:i/>
        </w:rPr>
        <w:t xml:space="preserve">In re </w:t>
      </w:r>
      <w:smartTag w:uri="urn:schemas-microsoft-com:office:smarttags" w:element="City">
        <w:smartTag w:uri="urn:schemas-microsoft-com:office:smarttags" w:element="place">
          <w:r w:rsidR="0081258D" w:rsidRPr="00525C3E">
            <w:rPr>
              <w:i/>
            </w:rPr>
            <w:t>Sparks</w:t>
          </w:r>
        </w:smartTag>
      </w:smartTag>
      <w:r w:rsidR="0081258D" w:rsidRPr="00525C3E">
        <w:t>, 360 B.R. 224 (Bankr. E.D. Tex. 2006) (§ 707(b) is statutory ceiling for enumerated expense categories, precluding allowance of any improper discretionary spending by higher income debtors)</w:t>
      </w:r>
      <w:r w:rsidR="009A1307" w:rsidRPr="00525C3E">
        <w:t>.</w:t>
      </w:r>
    </w:p>
    <w:p w:rsidR="009A6C9C" w:rsidRPr="00525C3E" w:rsidRDefault="00C8254B" w:rsidP="000A0F94">
      <w:pPr>
        <w:pStyle w:val="Heading3"/>
        <w:numPr>
          <w:ilvl w:val="0"/>
          <w:numId w:val="13"/>
        </w:numPr>
        <w:rPr>
          <w:rFonts w:ascii="Times New Roman" w:hAnsi="Times New Roman"/>
          <w:i/>
          <w:sz w:val="24"/>
        </w:rPr>
      </w:pPr>
      <w:r w:rsidRPr="00525C3E">
        <w:rPr>
          <w:rFonts w:ascii="Times New Roman" w:hAnsi="Times New Roman"/>
          <w:sz w:val="24"/>
          <w:szCs w:val="28"/>
        </w:rPr>
        <w:t>Section 1325(b)(3)</w:t>
      </w:r>
      <w:r w:rsidR="00DD3577" w:rsidRPr="00525C3E">
        <w:rPr>
          <w:rFonts w:ascii="Times New Roman" w:hAnsi="Times New Roman"/>
          <w:sz w:val="24"/>
          <w:szCs w:val="28"/>
        </w:rPr>
        <w:t xml:space="preserve"> </w:t>
      </w:r>
      <w:r w:rsidRPr="00525C3E">
        <w:rPr>
          <w:rFonts w:ascii="Times New Roman" w:hAnsi="Times New Roman"/>
          <w:sz w:val="24"/>
          <w:szCs w:val="28"/>
        </w:rPr>
        <w:t>Provides that Expenses are to be Determined Under § 707(b)(2)(A) and (B</w:t>
      </w:r>
      <w:r w:rsidRPr="00525C3E">
        <w:rPr>
          <w:rFonts w:ascii="Times New Roman" w:hAnsi="Times New Roman"/>
          <w:i/>
          <w:sz w:val="24"/>
          <w:szCs w:val="28"/>
        </w:rPr>
        <w:t>)</w:t>
      </w:r>
    </w:p>
    <w:p w:rsidR="00F25702" w:rsidRPr="00525C3E" w:rsidRDefault="00F25702" w:rsidP="00F25702"/>
    <w:p w:rsidR="00F25702" w:rsidRPr="00525C3E" w:rsidRDefault="00F25702" w:rsidP="00F25702">
      <w:pPr>
        <w:ind w:firstLine="720"/>
        <w:rPr>
          <w:szCs w:val="28"/>
        </w:rPr>
      </w:pPr>
      <w:r w:rsidRPr="00525C3E">
        <w:rPr>
          <w:szCs w:val="28"/>
        </w:rPr>
        <w:t>The Bankruptcy Code, in 11 U.S.C. § 707(b)(2)(A)</w:t>
      </w:r>
      <w:r w:rsidRPr="00525C3E">
        <w:rPr>
          <w:szCs w:val="28"/>
        </w:rPr>
        <w:fldChar w:fldCharType="begin"/>
      </w:r>
      <w:r w:rsidRPr="00525C3E">
        <w:instrText xml:space="preserve"> TA \s "11 U.S.C. § 707(b)(2)" \c 2 </w:instrText>
      </w:r>
      <w:r w:rsidRPr="00525C3E">
        <w:rPr>
          <w:szCs w:val="28"/>
        </w:rPr>
        <w:fldChar w:fldCharType="end"/>
      </w:r>
      <w:r w:rsidRPr="00525C3E">
        <w:rPr>
          <w:szCs w:val="28"/>
        </w:rPr>
        <w:t>, as directed by 11 U.S.C. § 1325(b)</w:t>
      </w:r>
      <w:r w:rsidRPr="00525C3E">
        <w:rPr>
          <w:szCs w:val="28"/>
        </w:rPr>
        <w:fldChar w:fldCharType="begin"/>
      </w:r>
      <w:r w:rsidRPr="00525C3E">
        <w:rPr>
          <w:szCs w:val="28"/>
        </w:rPr>
        <w:instrText xml:space="preserve"> TA \s "11 U.S.C. § 1325(b)" </w:instrText>
      </w:r>
      <w:r w:rsidRPr="00525C3E">
        <w:rPr>
          <w:szCs w:val="28"/>
        </w:rPr>
        <w:fldChar w:fldCharType="end"/>
      </w:r>
      <w:r w:rsidRPr="00525C3E">
        <w:rPr>
          <w:szCs w:val="28"/>
        </w:rPr>
        <w:t xml:space="preserve">(3), sets forth </w:t>
      </w:r>
      <w:r w:rsidR="004D7AEC" w:rsidRPr="00525C3E">
        <w:rPr>
          <w:szCs w:val="28"/>
        </w:rPr>
        <w:t xml:space="preserve">that </w:t>
      </w:r>
      <w:r w:rsidRPr="00525C3E">
        <w:rPr>
          <w:szCs w:val="28"/>
        </w:rPr>
        <w:t xml:space="preserve">an “above median” debtor’s expense amounts are to be reasonably necessary, </w:t>
      </w:r>
      <w:r w:rsidR="004D7AEC" w:rsidRPr="00525C3E">
        <w:rPr>
          <w:szCs w:val="28"/>
        </w:rPr>
        <w:t>as determined in § 707(b)(2)(A) and (B)</w:t>
      </w:r>
      <w:r w:rsidRPr="00525C3E">
        <w:rPr>
          <w:szCs w:val="28"/>
        </w:rPr>
        <w:t>, which provides</w:t>
      </w:r>
      <w:r w:rsidR="005B551C" w:rsidRPr="00525C3E">
        <w:rPr>
          <w:szCs w:val="28"/>
        </w:rPr>
        <w:t xml:space="preserve">, </w:t>
      </w:r>
      <w:r w:rsidR="005B551C" w:rsidRPr="00525C3E">
        <w:rPr>
          <w:i/>
          <w:szCs w:val="28"/>
        </w:rPr>
        <w:t>inter alia</w:t>
      </w:r>
      <w:r w:rsidR="005B551C" w:rsidRPr="00525C3E">
        <w:rPr>
          <w:szCs w:val="28"/>
        </w:rPr>
        <w:t>,</w:t>
      </w:r>
      <w:r w:rsidRPr="00525C3E">
        <w:rPr>
          <w:szCs w:val="28"/>
        </w:rPr>
        <w:t xml:space="preserve"> that allowable expenses are determined under the National, Local, and Other Necessary Expenses, issued by the Internal Revenue Service</w:t>
      </w:r>
      <w:r w:rsidRPr="00525C3E">
        <w:rPr>
          <w:szCs w:val="28"/>
        </w:rPr>
        <w:fldChar w:fldCharType="begin"/>
      </w:r>
      <w:r w:rsidRPr="00525C3E">
        <w:instrText xml:space="preserve"> TA \s "11 U.S.C. § 707(b)(2)" </w:instrText>
      </w:r>
      <w:r w:rsidRPr="00525C3E">
        <w:rPr>
          <w:szCs w:val="28"/>
        </w:rPr>
        <w:fldChar w:fldCharType="end"/>
      </w:r>
      <w:r w:rsidRPr="00525C3E">
        <w:rPr>
          <w:szCs w:val="28"/>
        </w:rPr>
        <w:t>.</w:t>
      </w:r>
      <w:r w:rsidR="00330D94" w:rsidRPr="00525C3E">
        <w:rPr>
          <w:szCs w:val="28"/>
        </w:rPr>
        <w:t xml:space="preserve"> </w:t>
      </w:r>
      <w:r w:rsidR="009961CE" w:rsidRPr="00525C3E">
        <w:rPr>
          <w:szCs w:val="28"/>
        </w:rPr>
        <w:t>Allowed expenses are shown on Official Form 22C</w:t>
      </w:r>
      <w:r w:rsidR="005D77B5" w:rsidRPr="00525C3E">
        <w:rPr>
          <w:szCs w:val="28"/>
        </w:rPr>
        <w:t>, although authority for their deduction is founded in the Code.</w:t>
      </w:r>
      <w:r w:rsidR="00DD3577" w:rsidRPr="00525C3E">
        <w:rPr>
          <w:szCs w:val="28"/>
        </w:rPr>
        <w:t xml:space="preserve"> </w:t>
      </w:r>
    </w:p>
    <w:p w:rsidR="009F646E" w:rsidRPr="00525C3E" w:rsidRDefault="009F646E" w:rsidP="00F25702">
      <w:pPr>
        <w:ind w:firstLine="720"/>
        <w:rPr>
          <w:szCs w:val="28"/>
        </w:rPr>
      </w:pPr>
    </w:p>
    <w:p w:rsidR="009A6C9C" w:rsidRPr="00525C3E" w:rsidRDefault="00DD3577" w:rsidP="00BF31F2">
      <w:pPr>
        <w:ind w:firstLine="720"/>
      </w:pPr>
      <w:r w:rsidRPr="00525C3E">
        <w:rPr>
          <w:i/>
        </w:rPr>
        <w:t>See</w:t>
      </w:r>
      <w:r w:rsidR="005B551C" w:rsidRPr="00525C3E">
        <w:rPr>
          <w:i/>
        </w:rPr>
        <w:t xml:space="preserve"> </w:t>
      </w:r>
      <w:r w:rsidR="00E34EB2" w:rsidRPr="00525C3E">
        <w:rPr>
          <w:i/>
        </w:rPr>
        <w:t>In re Hardacre</w:t>
      </w:r>
      <w:r w:rsidR="00E34EB2" w:rsidRPr="00525C3E">
        <w:t xml:space="preserve">, 338 B.R. 718 (Bankr. N.D. </w:t>
      </w:r>
      <w:smartTag w:uri="urn:schemas-microsoft-com:office:smarttags" w:element="State">
        <w:smartTag w:uri="urn:schemas-microsoft-com:office:smarttags" w:element="place">
          <w:r w:rsidR="00E34EB2" w:rsidRPr="00525C3E">
            <w:t>Tex.</w:t>
          </w:r>
        </w:smartTag>
      </w:smartTag>
      <w:r w:rsidR="00E34EB2" w:rsidRPr="00525C3E">
        <w:t xml:space="preserve"> 2006)</w:t>
      </w:r>
      <w:r w:rsidR="00E34EB2" w:rsidRPr="00525C3E">
        <w:fldChar w:fldCharType="begin"/>
      </w:r>
      <w:r w:rsidR="00E34EB2" w:rsidRPr="00525C3E">
        <w:instrText xml:space="preserve"> TA \l "</w:instrText>
      </w:r>
      <w:r w:rsidR="00E34EB2" w:rsidRPr="00525C3E">
        <w:rPr>
          <w:i/>
        </w:rPr>
        <w:instrText>In re Hardacre</w:instrText>
      </w:r>
      <w:r w:rsidR="00E34EB2" w:rsidRPr="00525C3E">
        <w:instrText xml:space="preserve">, 338 B.R. 718 (Bankr. N.D. Tex. 2006)" \s "In re Hardacre, 338 B.R." \c 1 </w:instrText>
      </w:r>
      <w:r w:rsidR="00E34EB2" w:rsidRPr="00525C3E">
        <w:fldChar w:fldCharType="end"/>
      </w:r>
      <w:r w:rsidRPr="00525C3E">
        <w:t xml:space="preserve">; </w:t>
      </w:r>
      <w:r w:rsidR="002539DC" w:rsidRPr="00525C3E">
        <w:rPr>
          <w:i/>
          <w:szCs w:val="28"/>
        </w:rPr>
        <w:t>In re Edmondson</w:t>
      </w:r>
      <w:r w:rsidR="002539DC" w:rsidRPr="00525C3E">
        <w:rPr>
          <w:szCs w:val="28"/>
        </w:rPr>
        <w:t>, 363 B.R. 212 (Bankr. D.N.M. 2007)</w:t>
      </w:r>
      <w:r w:rsidRPr="00525C3E">
        <w:rPr>
          <w:szCs w:val="28"/>
        </w:rPr>
        <w:t xml:space="preserve">; </w:t>
      </w:r>
      <w:r w:rsidR="00FD2DC3" w:rsidRPr="00525C3E">
        <w:rPr>
          <w:i/>
          <w:szCs w:val="28"/>
        </w:rPr>
        <w:t>In re Lanning</w:t>
      </w:r>
      <w:r w:rsidR="00FD2DC3" w:rsidRPr="00525C3E">
        <w:rPr>
          <w:szCs w:val="28"/>
        </w:rPr>
        <w:t xml:space="preserve">, No. 06-41037, 2007 Bankr. LEXIS 1639 (Bankr. D. </w:t>
      </w:r>
      <w:smartTag w:uri="urn:schemas-microsoft-com:office:smarttags" w:element="State">
        <w:r w:rsidR="00FD2DC3" w:rsidRPr="00525C3E">
          <w:rPr>
            <w:szCs w:val="28"/>
          </w:rPr>
          <w:t>Kan.</w:t>
        </w:r>
      </w:smartTag>
      <w:r w:rsidR="00FD2DC3" w:rsidRPr="00525C3E">
        <w:rPr>
          <w:szCs w:val="28"/>
        </w:rPr>
        <w:t xml:space="preserve"> May 15, 2007)</w:t>
      </w:r>
      <w:r w:rsidRPr="00525C3E">
        <w:rPr>
          <w:szCs w:val="28"/>
        </w:rPr>
        <w:t xml:space="preserve">; </w:t>
      </w:r>
      <w:r w:rsidR="00617279" w:rsidRPr="00525C3E">
        <w:rPr>
          <w:i/>
          <w:szCs w:val="28"/>
        </w:rPr>
        <w:t xml:space="preserve">In re </w:t>
      </w:r>
      <w:smartTag w:uri="urn:schemas-microsoft-com:office:smarttags" w:element="City">
        <w:smartTag w:uri="urn:schemas-microsoft-com:office:smarttags" w:element="place">
          <w:r w:rsidR="00617279" w:rsidRPr="00525C3E">
            <w:rPr>
              <w:i/>
              <w:szCs w:val="28"/>
            </w:rPr>
            <w:t>Carlton</w:t>
          </w:r>
        </w:smartTag>
      </w:smartTag>
      <w:r w:rsidR="00617279" w:rsidRPr="00525C3E">
        <w:rPr>
          <w:szCs w:val="28"/>
        </w:rPr>
        <w:t>, 362 B.R. 402, 411 (Bankr. C.D. Ill. 2007)</w:t>
      </w:r>
      <w:r w:rsidRPr="00525C3E">
        <w:rPr>
          <w:szCs w:val="28"/>
        </w:rPr>
        <w:t xml:space="preserve">; </w:t>
      </w:r>
      <w:r w:rsidR="00261100" w:rsidRPr="00525C3E">
        <w:rPr>
          <w:i/>
          <w:szCs w:val="28"/>
        </w:rPr>
        <w:t>In re Guzman</w:t>
      </w:r>
      <w:r w:rsidR="00261100" w:rsidRPr="00525C3E">
        <w:rPr>
          <w:szCs w:val="28"/>
        </w:rPr>
        <w:t>, 345 B.R. 640, 643 (Bankr. E.D. Wis. 2006)</w:t>
      </w:r>
      <w:r w:rsidRPr="00525C3E">
        <w:rPr>
          <w:szCs w:val="28"/>
        </w:rPr>
        <w:t xml:space="preserve">; </w:t>
      </w:r>
      <w:r w:rsidR="00261100" w:rsidRPr="00525C3E">
        <w:rPr>
          <w:i/>
          <w:szCs w:val="28"/>
        </w:rPr>
        <w:t>In re Burmeister</w:t>
      </w:r>
      <w:r w:rsidR="00261100" w:rsidRPr="00525C3E">
        <w:rPr>
          <w:szCs w:val="28"/>
        </w:rPr>
        <w:t xml:space="preserve">, 378 B.R. 227, 230 (Bankr. N.D. </w:t>
      </w:r>
      <w:smartTag w:uri="urn:schemas-microsoft-com:office:smarttags" w:element="State">
        <w:smartTag w:uri="urn:schemas-microsoft-com:office:smarttags" w:element="place">
          <w:r w:rsidR="00261100" w:rsidRPr="00525C3E">
            <w:rPr>
              <w:szCs w:val="28"/>
            </w:rPr>
            <w:t>Ill.</w:t>
          </w:r>
        </w:smartTag>
      </w:smartTag>
      <w:r w:rsidR="00330D11" w:rsidRPr="00525C3E">
        <w:rPr>
          <w:szCs w:val="28"/>
        </w:rPr>
        <w:t xml:space="preserve"> 2007); </w:t>
      </w:r>
      <w:r w:rsidR="00BF31F2" w:rsidRPr="00525C3E">
        <w:rPr>
          <w:i/>
        </w:rPr>
        <w:t>In re Gonzalez</w:t>
      </w:r>
      <w:r w:rsidR="00BF31F2" w:rsidRPr="00525C3E">
        <w:t xml:space="preserve">, 388 B.R. 292 (Bankr. S.D. </w:t>
      </w:r>
      <w:smartTag w:uri="urn:schemas-microsoft-com:office:smarttags" w:element="State">
        <w:smartTag w:uri="urn:schemas-microsoft-com:office:smarttags" w:element="place">
          <w:r w:rsidR="00BF31F2" w:rsidRPr="00525C3E">
            <w:t>Tex.</w:t>
          </w:r>
        </w:smartTag>
      </w:smartTag>
      <w:r w:rsidR="00BF31F2" w:rsidRPr="00525C3E">
        <w:t xml:space="preserve"> 2008)</w:t>
      </w:r>
      <w:r w:rsidR="000E736B" w:rsidRPr="00525C3E">
        <w:t xml:space="preserve">; </w:t>
      </w:r>
      <w:r w:rsidR="000E736B" w:rsidRPr="00525C3E">
        <w:rPr>
          <w:i/>
        </w:rPr>
        <w:t>In re Meyer</w:t>
      </w:r>
      <w:r w:rsidR="000E736B" w:rsidRPr="00525C3E">
        <w:t xml:space="preserve">, 355 B.R. 837 (Bankr. D.N.M. 2006) (opining that “Congress essentially used </w:t>
      </w:r>
      <w:r w:rsidR="000E736B" w:rsidRPr="00525C3E">
        <w:rPr>
          <w:i/>
        </w:rPr>
        <w:t>§ 707(b)(2)</w:t>
      </w:r>
      <w:r w:rsidR="000E736B" w:rsidRPr="00525C3E">
        <w:t xml:space="preserve"> as a sort of shorthand for the list of expenses that over-median debtors could deduct”)</w:t>
      </w:r>
      <w:r w:rsidR="00BF31F2" w:rsidRPr="00525C3E">
        <w:t>.</w:t>
      </w:r>
    </w:p>
    <w:p w:rsidR="009A6C9C" w:rsidRPr="00525C3E" w:rsidRDefault="007D73E8" w:rsidP="00425E9A">
      <w:pPr>
        <w:pStyle w:val="Heading3"/>
        <w:numPr>
          <w:ilvl w:val="0"/>
          <w:numId w:val="13"/>
        </w:numPr>
        <w:rPr>
          <w:rFonts w:ascii="Times New Roman" w:hAnsi="Times New Roman"/>
          <w:sz w:val="24"/>
          <w:szCs w:val="28"/>
        </w:rPr>
      </w:pPr>
      <w:r w:rsidRPr="00525C3E">
        <w:rPr>
          <w:rFonts w:ascii="Times New Roman" w:hAnsi="Times New Roman"/>
          <w:sz w:val="24"/>
          <w:szCs w:val="28"/>
        </w:rPr>
        <w:t>Ownership Expense of a Vehicle Owned “Free and C</w:t>
      </w:r>
      <w:r w:rsidR="009A6C9C" w:rsidRPr="00525C3E">
        <w:rPr>
          <w:rFonts w:ascii="Times New Roman" w:hAnsi="Times New Roman"/>
          <w:sz w:val="24"/>
          <w:szCs w:val="28"/>
        </w:rPr>
        <w:t>lear”</w:t>
      </w:r>
    </w:p>
    <w:p w:rsidR="009A6C9C" w:rsidRPr="00525C3E" w:rsidRDefault="009A6C9C" w:rsidP="00F25702">
      <w:pPr>
        <w:ind w:firstLine="720"/>
        <w:rPr>
          <w:szCs w:val="28"/>
        </w:rPr>
      </w:pPr>
    </w:p>
    <w:p w:rsidR="00FD2D94" w:rsidRPr="00525C3E" w:rsidRDefault="005B551C" w:rsidP="00F25702">
      <w:pPr>
        <w:ind w:firstLine="720"/>
        <w:rPr>
          <w:szCs w:val="28"/>
        </w:rPr>
      </w:pPr>
      <w:r w:rsidRPr="00525C3E">
        <w:rPr>
          <w:szCs w:val="28"/>
        </w:rPr>
        <w:t xml:space="preserve">A hotly litigated </w:t>
      </w:r>
      <w:r w:rsidR="007D170D" w:rsidRPr="00525C3E">
        <w:rPr>
          <w:szCs w:val="28"/>
        </w:rPr>
        <w:t xml:space="preserve">issue </w:t>
      </w:r>
      <w:r w:rsidRPr="00525C3E">
        <w:rPr>
          <w:szCs w:val="28"/>
        </w:rPr>
        <w:t>is</w:t>
      </w:r>
      <w:r w:rsidR="007D170D" w:rsidRPr="00525C3E">
        <w:rPr>
          <w:szCs w:val="28"/>
        </w:rPr>
        <w:t xml:space="preserve"> whether </w:t>
      </w:r>
      <w:r w:rsidR="008B54D6" w:rsidRPr="00525C3E">
        <w:rPr>
          <w:szCs w:val="28"/>
        </w:rPr>
        <w:t xml:space="preserve">a </w:t>
      </w:r>
      <w:r w:rsidR="00FD2D94" w:rsidRPr="00525C3E">
        <w:rPr>
          <w:szCs w:val="28"/>
        </w:rPr>
        <w:t>debtor</w:t>
      </w:r>
      <w:r w:rsidR="007D170D" w:rsidRPr="00525C3E">
        <w:rPr>
          <w:szCs w:val="28"/>
        </w:rPr>
        <w:t xml:space="preserve"> may</w:t>
      </w:r>
      <w:r w:rsidR="00FD2D94" w:rsidRPr="00525C3E">
        <w:rPr>
          <w:szCs w:val="28"/>
        </w:rPr>
        <w:t xml:space="preserve">, in calculating his projected disposable income for his proposed plan, expense the full amount for transportation ownership set by the Local Standards of the Internal Revenue Service for a vehicle unencumbered by a loan or lease, thereby </w:t>
      </w:r>
      <w:r w:rsidR="00C8254B" w:rsidRPr="00525C3E">
        <w:rPr>
          <w:szCs w:val="28"/>
        </w:rPr>
        <w:t>reducing</w:t>
      </w:r>
      <w:r w:rsidR="00FD2D94" w:rsidRPr="00525C3E">
        <w:rPr>
          <w:szCs w:val="28"/>
        </w:rPr>
        <w:t xml:space="preserve"> his projected disposable income to be paid to his unsecured creditors</w:t>
      </w:r>
      <w:r w:rsidR="007D170D" w:rsidRPr="00525C3E">
        <w:rPr>
          <w:szCs w:val="28"/>
        </w:rPr>
        <w:t>.</w:t>
      </w:r>
    </w:p>
    <w:p w:rsidR="00925B2F" w:rsidRPr="00525C3E" w:rsidRDefault="00925B2F" w:rsidP="00F25702">
      <w:pPr>
        <w:ind w:firstLine="720"/>
        <w:rPr>
          <w:szCs w:val="28"/>
        </w:rPr>
      </w:pPr>
    </w:p>
    <w:p w:rsidR="00925B2F" w:rsidRPr="00525C3E" w:rsidRDefault="008D5E9A" w:rsidP="000A0F94">
      <w:pPr>
        <w:ind w:left="1440"/>
        <w:rPr>
          <w:b/>
          <w:szCs w:val="28"/>
          <w:u w:val="single"/>
        </w:rPr>
      </w:pPr>
      <w:r w:rsidRPr="00525C3E">
        <w:rPr>
          <w:b/>
          <w:szCs w:val="28"/>
        </w:rPr>
        <w:t>a.</w:t>
      </w:r>
      <w:r w:rsidR="00381A40" w:rsidRPr="00525C3E">
        <w:rPr>
          <w:b/>
          <w:szCs w:val="28"/>
        </w:rPr>
        <w:tab/>
      </w:r>
      <w:r w:rsidR="00E268EB" w:rsidRPr="00525C3E">
        <w:rPr>
          <w:b/>
          <w:szCs w:val="28"/>
          <w:u w:val="single"/>
        </w:rPr>
        <w:t>Appellate Review</w:t>
      </w:r>
    </w:p>
    <w:p w:rsidR="00925B2F" w:rsidRPr="00525C3E" w:rsidRDefault="00925B2F" w:rsidP="00925B2F">
      <w:pPr>
        <w:jc w:val="center"/>
        <w:rPr>
          <w:b/>
          <w:szCs w:val="28"/>
        </w:rPr>
      </w:pPr>
    </w:p>
    <w:p w:rsidR="00925B2F" w:rsidRPr="00525C3E" w:rsidRDefault="00381A40" w:rsidP="000A0F94">
      <w:pPr>
        <w:ind w:left="2160"/>
        <w:rPr>
          <w:b/>
          <w:szCs w:val="28"/>
        </w:rPr>
      </w:pPr>
      <w:r w:rsidRPr="00525C3E">
        <w:rPr>
          <w:b/>
          <w:szCs w:val="28"/>
        </w:rPr>
        <w:t>i.</w:t>
      </w:r>
      <w:r w:rsidRPr="00525C3E">
        <w:rPr>
          <w:b/>
          <w:szCs w:val="28"/>
        </w:rPr>
        <w:tab/>
      </w:r>
      <w:r w:rsidR="008B54D6" w:rsidRPr="00525C3E">
        <w:rPr>
          <w:b/>
          <w:szCs w:val="28"/>
        </w:rPr>
        <w:t>May Not Expense</w:t>
      </w:r>
    </w:p>
    <w:p w:rsidR="00FD2D94" w:rsidRPr="00525C3E" w:rsidRDefault="00FD2D94" w:rsidP="00F25702">
      <w:pPr>
        <w:ind w:firstLine="720"/>
        <w:rPr>
          <w:szCs w:val="28"/>
        </w:rPr>
      </w:pPr>
    </w:p>
    <w:p w:rsidR="00FD2D94" w:rsidRPr="00525C3E" w:rsidRDefault="00FD2D94" w:rsidP="00EB1E04">
      <w:pPr>
        <w:ind w:firstLine="720"/>
        <w:rPr>
          <w:i/>
          <w:szCs w:val="28"/>
        </w:rPr>
      </w:pPr>
      <w:r w:rsidRPr="00525C3E">
        <w:rPr>
          <w:i/>
          <w:szCs w:val="28"/>
        </w:rPr>
        <w:t xml:space="preserve">Ransom v. MBNA Am. Bank, N.A. </w:t>
      </w:r>
      <w:r w:rsidRPr="00525C3E">
        <w:rPr>
          <w:szCs w:val="28"/>
        </w:rPr>
        <w:t>(</w:t>
      </w:r>
      <w:r w:rsidRPr="00525C3E">
        <w:rPr>
          <w:i/>
          <w:szCs w:val="28"/>
        </w:rPr>
        <w:t>In re Ransom</w:t>
      </w:r>
      <w:r w:rsidRPr="00525C3E">
        <w:rPr>
          <w:szCs w:val="28"/>
        </w:rPr>
        <w:t xml:space="preserve">), </w:t>
      </w:r>
      <w:r w:rsidR="00835A38">
        <w:rPr>
          <w:szCs w:val="28"/>
        </w:rPr>
        <w:t>577 F.3d 1025</w:t>
      </w:r>
      <w:r w:rsidR="00DB46B6" w:rsidRPr="00525C3E">
        <w:rPr>
          <w:szCs w:val="28"/>
        </w:rPr>
        <w:t xml:space="preserve"> (9th 2009)</w:t>
      </w:r>
      <w:r w:rsidR="00835A38">
        <w:rPr>
          <w:szCs w:val="28"/>
        </w:rPr>
        <w:t>,</w:t>
      </w:r>
      <w:r w:rsidR="00D25381" w:rsidRPr="00525C3E">
        <w:rPr>
          <w:szCs w:val="28"/>
        </w:rPr>
        <w:t xml:space="preserve"> </w:t>
      </w:r>
      <w:r w:rsidR="00D25381" w:rsidRPr="00525C3E">
        <w:rPr>
          <w:i/>
          <w:szCs w:val="28"/>
        </w:rPr>
        <w:t xml:space="preserve">cert </w:t>
      </w:r>
      <w:r w:rsidR="00835A38">
        <w:rPr>
          <w:i/>
          <w:szCs w:val="28"/>
        </w:rPr>
        <w:t>granted</w:t>
      </w:r>
      <w:r w:rsidR="00835A38">
        <w:rPr>
          <w:szCs w:val="28"/>
        </w:rPr>
        <w:t>, 09-907 (Apr. 19, 2010)</w:t>
      </w:r>
      <w:r w:rsidR="00EB1E04" w:rsidRPr="00525C3E">
        <w:rPr>
          <w:szCs w:val="28"/>
        </w:rPr>
        <w:t xml:space="preserve">; </w:t>
      </w:r>
      <w:r w:rsidRPr="00525C3E">
        <w:rPr>
          <w:i/>
          <w:szCs w:val="28"/>
        </w:rPr>
        <w:t>Babin v. Wilson</w:t>
      </w:r>
      <w:r w:rsidRPr="00525C3E">
        <w:rPr>
          <w:szCs w:val="28"/>
        </w:rPr>
        <w:t xml:space="preserve"> (</w:t>
      </w:r>
      <w:r w:rsidRPr="00525C3E">
        <w:rPr>
          <w:i/>
          <w:szCs w:val="28"/>
        </w:rPr>
        <w:t xml:space="preserve">In re </w:t>
      </w:r>
      <w:smartTag w:uri="urn:schemas-microsoft-com:office:smarttags" w:element="City">
        <w:r w:rsidRPr="00525C3E">
          <w:rPr>
            <w:i/>
            <w:szCs w:val="28"/>
          </w:rPr>
          <w:t>Wilson</w:t>
        </w:r>
      </w:smartTag>
      <w:r w:rsidRPr="00525C3E">
        <w:rPr>
          <w:szCs w:val="28"/>
        </w:rPr>
        <w:t xml:space="preserve">), </w:t>
      </w:r>
      <w:r w:rsidR="00E56608" w:rsidRPr="00525C3E">
        <w:rPr>
          <w:szCs w:val="28"/>
        </w:rPr>
        <w:t xml:space="preserve">383 B.R. 729 </w:t>
      </w:r>
      <w:r w:rsidR="008D5E9A" w:rsidRPr="00525C3E">
        <w:rPr>
          <w:szCs w:val="28"/>
        </w:rPr>
        <w:t>(B.A.P. 8th</w:t>
      </w:r>
      <w:r w:rsidRPr="00525C3E">
        <w:rPr>
          <w:szCs w:val="28"/>
        </w:rPr>
        <w:t xml:space="preserve"> Cir. 2008)</w:t>
      </w:r>
      <w:r w:rsidR="00E56608" w:rsidRPr="00525C3E">
        <w:rPr>
          <w:szCs w:val="28"/>
        </w:rPr>
        <w:t xml:space="preserve">, </w:t>
      </w:r>
      <w:r w:rsidR="00E56608" w:rsidRPr="00525C3E">
        <w:rPr>
          <w:i/>
          <w:szCs w:val="28"/>
        </w:rPr>
        <w:t>rev’g</w:t>
      </w:r>
      <w:r w:rsidR="00E56608" w:rsidRPr="00525C3E">
        <w:rPr>
          <w:szCs w:val="28"/>
        </w:rPr>
        <w:t xml:space="preserve"> </w:t>
      </w:r>
      <w:r w:rsidR="00E56608" w:rsidRPr="00525C3E">
        <w:rPr>
          <w:i/>
          <w:szCs w:val="28"/>
        </w:rPr>
        <w:t xml:space="preserve">In re </w:t>
      </w:r>
      <w:smartTag w:uri="urn:schemas-microsoft-com:office:smarttags" w:element="City">
        <w:smartTag w:uri="urn:schemas-microsoft-com:office:smarttags" w:element="place">
          <w:r w:rsidR="00E56608" w:rsidRPr="00525C3E">
            <w:rPr>
              <w:i/>
              <w:szCs w:val="28"/>
            </w:rPr>
            <w:t>Wilson</w:t>
          </w:r>
        </w:smartTag>
      </w:smartTag>
      <w:r w:rsidR="00E56608" w:rsidRPr="00525C3E">
        <w:rPr>
          <w:szCs w:val="28"/>
        </w:rPr>
        <w:t>, 373 B.R. 638 (Bankr. W.D. Ark. 2007)</w:t>
      </w:r>
      <w:r w:rsidR="00EB1E04" w:rsidRPr="00525C3E">
        <w:rPr>
          <w:szCs w:val="28"/>
        </w:rPr>
        <w:t xml:space="preserve">. </w:t>
      </w:r>
      <w:r w:rsidRPr="00525C3E">
        <w:rPr>
          <w:szCs w:val="28"/>
        </w:rPr>
        <w:fldChar w:fldCharType="begin"/>
      </w:r>
      <w:r w:rsidRPr="00525C3E">
        <w:rPr>
          <w:szCs w:val="28"/>
        </w:rPr>
        <w:instrText xml:space="preserve"> TA \l "</w:instrText>
      </w:r>
      <w:r w:rsidRPr="00525C3E">
        <w:rPr>
          <w:i/>
          <w:szCs w:val="28"/>
        </w:rPr>
        <w:instrText>Babin v. Wilson</w:instrText>
      </w:r>
      <w:r w:rsidRPr="00525C3E">
        <w:rPr>
          <w:szCs w:val="28"/>
        </w:rPr>
        <w:instrText xml:space="preserve"> (</w:instrText>
      </w:r>
      <w:r w:rsidRPr="00525C3E">
        <w:rPr>
          <w:i/>
          <w:szCs w:val="28"/>
        </w:rPr>
        <w:instrText>In re Wilson</w:instrText>
      </w:r>
      <w:r w:rsidRPr="00525C3E">
        <w:rPr>
          <w:szCs w:val="28"/>
        </w:rPr>
        <w:instrText>), Opinion, No. 07-6050 (B.A.P. 8</w:instrText>
      </w:r>
      <w:r w:rsidRPr="00525C3E">
        <w:rPr>
          <w:szCs w:val="28"/>
          <w:vertAlign w:val="superscript"/>
        </w:rPr>
        <w:instrText>th</w:instrText>
      </w:r>
      <w:r w:rsidRPr="00525C3E">
        <w:rPr>
          <w:szCs w:val="28"/>
        </w:rPr>
        <w:instrText xml:space="preserve"> Cir. Mar. 14, 2008)" \s "Wilson, Opinion, No. 07-6050" \c 1 </w:instrText>
      </w:r>
      <w:r w:rsidRPr="00525C3E">
        <w:rPr>
          <w:szCs w:val="28"/>
        </w:rPr>
        <w:fldChar w:fldCharType="end"/>
      </w:r>
    </w:p>
    <w:p w:rsidR="00FD2D94" w:rsidRPr="00525C3E" w:rsidRDefault="00FD2D94" w:rsidP="00F25702">
      <w:pPr>
        <w:ind w:firstLine="720"/>
        <w:rPr>
          <w:szCs w:val="28"/>
        </w:rPr>
      </w:pPr>
    </w:p>
    <w:p w:rsidR="00E679F0" w:rsidRPr="00525C3E" w:rsidRDefault="00EB1E04" w:rsidP="00F25702">
      <w:pPr>
        <w:ind w:firstLine="720"/>
        <w:rPr>
          <w:szCs w:val="28"/>
        </w:rPr>
      </w:pPr>
      <w:r w:rsidRPr="00525C3E">
        <w:rPr>
          <w:i/>
          <w:szCs w:val="28"/>
        </w:rPr>
        <w:t xml:space="preserve">See also </w:t>
      </w:r>
      <w:r w:rsidR="000E2052" w:rsidRPr="00525C3E">
        <w:rPr>
          <w:i/>
          <w:szCs w:val="28"/>
        </w:rPr>
        <w:t>Wieland v. Thomas</w:t>
      </w:r>
      <w:r w:rsidR="000E2052" w:rsidRPr="00525C3E">
        <w:rPr>
          <w:szCs w:val="28"/>
        </w:rPr>
        <w:t>, 382 B.R. 793 (D. Kan. 2008)</w:t>
      </w:r>
      <w:r w:rsidR="00FD2D94" w:rsidRPr="00525C3E">
        <w:rPr>
          <w:szCs w:val="28"/>
        </w:rPr>
        <w:fldChar w:fldCharType="begin"/>
      </w:r>
      <w:r w:rsidR="00FD2D94" w:rsidRPr="00525C3E">
        <w:rPr>
          <w:szCs w:val="28"/>
        </w:rPr>
        <w:instrText xml:space="preserve"> TA \l "</w:instrText>
      </w:r>
      <w:r w:rsidR="00FD2D94" w:rsidRPr="00525C3E">
        <w:rPr>
          <w:i/>
          <w:szCs w:val="28"/>
        </w:rPr>
        <w:instrText>Wieland v. Thomas</w:instrText>
      </w:r>
      <w:r w:rsidR="00FD2D94" w:rsidRPr="00525C3E">
        <w:rPr>
          <w:szCs w:val="28"/>
        </w:rPr>
        <w:instrText xml:space="preserve">, No. 07-2493-JWL, 2008 U.S. Dist. LEXIS 16927 (D. Kan. Mar. 4, 2008)" \s "Wieland, No. 07-2493-JWL, 2008 U.S. Dist. LEXIS 16927" \c 1 </w:instrText>
      </w:r>
      <w:r w:rsidR="00FD2D94" w:rsidRPr="00525C3E">
        <w:rPr>
          <w:szCs w:val="28"/>
        </w:rPr>
        <w:fldChar w:fldCharType="end"/>
      </w:r>
      <w:r w:rsidRPr="00525C3E">
        <w:rPr>
          <w:szCs w:val="28"/>
        </w:rPr>
        <w:t xml:space="preserve">; </w:t>
      </w:r>
      <w:r w:rsidR="00657E61" w:rsidRPr="00525C3E">
        <w:rPr>
          <w:i/>
          <w:szCs w:val="28"/>
        </w:rPr>
        <w:t>Grossman v. Sawdy</w:t>
      </w:r>
      <w:r w:rsidR="00657E61" w:rsidRPr="00525C3E">
        <w:rPr>
          <w:szCs w:val="28"/>
        </w:rPr>
        <w:t>, 384 B.R. 199, 203 (E.D. Wis. 2008) (vacating a bankruptcy court’s order overruling a trustee’s objection to confirmation and opining that “in order for the ownership expense to apply, a debtor must actually be making monthly ownership or lease payments.”)</w:t>
      </w:r>
      <w:r w:rsidR="00A6216B" w:rsidRPr="00525C3E">
        <w:rPr>
          <w:szCs w:val="28"/>
        </w:rPr>
        <w:t xml:space="preserve">, </w:t>
      </w:r>
      <w:r w:rsidR="00A6216B" w:rsidRPr="00525C3E">
        <w:rPr>
          <w:i/>
          <w:szCs w:val="28"/>
        </w:rPr>
        <w:t>rev’g</w:t>
      </w:r>
      <w:r w:rsidR="00A6216B" w:rsidRPr="00525C3E">
        <w:rPr>
          <w:szCs w:val="28"/>
        </w:rPr>
        <w:t xml:space="preserve"> </w:t>
      </w:r>
      <w:r w:rsidR="00A6216B" w:rsidRPr="00525C3E">
        <w:rPr>
          <w:i/>
          <w:szCs w:val="28"/>
        </w:rPr>
        <w:t>In re Sawdy</w:t>
      </w:r>
      <w:r w:rsidR="00A6216B" w:rsidRPr="00525C3E">
        <w:rPr>
          <w:szCs w:val="28"/>
        </w:rPr>
        <w:t>, 362 B.R. 898 (Bankr. E.D. Wis. 2007)</w:t>
      </w:r>
      <w:r w:rsidRPr="00525C3E">
        <w:rPr>
          <w:szCs w:val="28"/>
        </w:rPr>
        <w:t xml:space="preserve">; </w:t>
      </w:r>
      <w:r w:rsidR="00FD2D94" w:rsidRPr="00525C3E">
        <w:rPr>
          <w:i/>
          <w:szCs w:val="28"/>
        </w:rPr>
        <w:t>Fokkena v. Hartwick</w:t>
      </w:r>
      <w:r w:rsidR="00FD2D94" w:rsidRPr="00525C3E">
        <w:rPr>
          <w:szCs w:val="28"/>
        </w:rPr>
        <w:t>, 373 B.R. 645</w:t>
      </w:r>
      <w:r w:rsidR="00C86ABB" w:rsidRPr="00525C3E">
        <w:rPr>
          <w:szCs w:val="28"/>
        </w:rPr>
        <w:t>, 650</w:t>
      </w:r>
      <w:r w:rsidR="00FD2D94" w:rsidRPr="00525C3E">
        <w:rPr>
          <w:szCs w:val="28"/>
        </w:rPr>
        <w:t xml:space="preserve"> (D. Minn. 2007)</w:t>
      </w:r>
      <w:r w:rsidR="00BA0C90" w:rsidRPr="00525C3E">
        <w:rPr>
          <w:szCs w:val="28"/>
        </w:rPr>
        <w:t xml:space="preserve"> </w:t>
      </w:r>
      <w:r w:rsidRPr="00525C3E">
        <w:rPr>
          <w:szCs w:val="28"/>
        </w:rPr>
        <w:t xml:space="preserve">(finding that “debtor must actually have a loan or lease payment obligation” to deduct Local Standard for vehicle ownership); </w:t>
      </w:r>
      <w:r w:rsidR="00FD2D94" w:rsidRPr="00525C3E">
        <w:rPr>
          <w:i/>
          <w:szCs w:val="28"/>
        </w:rPr>
        <w:t>United States Trustee v. Deadmond, Jr.</w:t>
      </w:r>
      <w:r w:rsidR="00FD2D94" w:rsidRPr="00525C3E">
        <w:rPr>
          <w:szCs w:val="28"/>
        </w:rPr>
        <w:t xml:space="preserve"> (</w:t>
      </w:r>
      <w:r w:rsidR="00FD2D94" w:rsidRPr="00525C3E">
        <w:rPr>
          <w:i/>
          <w:szCs w:val="28"/>
        </w:rPr>
        <w:t>In re Deadmond</w:t>
      </w:r>
      <w:r w:rsidR="00FD2D94" w:rsidRPr="00525C3E">
        <w:rPr>
          <w:szCs w:val="28"/>
        </w:rPr>
        <w:t>), No. CV 07-15-H-CCL, 2008 U.S. Dist. LEXIS 4426</w:t>
      </w:r>
      <w:r w:rsidR="00647EA9" w:rsidRPr="00525C3E">
        <w:rPr>
          <w:szCs w:val="28"/>
        </w:rPr>
        <w:t>, at *6</w:t>
      </w:r>
      <w:r w:rsidR="00FD2D94" w:rsidRPr="00525C3E">
        <w:rPr>
          <w:szCs w:val="28"/>
        </w:rPr>
        <w:t xml:space="preserve"> (D. Mont. Jan. 22, 2008)</w:t>
      </w:r>
      <w:r w:rsidRPr="00525C3E">
        <w:rPr>
          <w:szCs w:val="28"/>
        </w:rPr>
        <w:t xml:space="preserve">; </w:t>
      </w:r>
      <w:r w:rsidR="00E679F0" w:rsidRPr="00525C3E">
        <w:rPr>
          <w:i/>
          <w:szCs w:val="28"/>
        </w:rPr>
        <w:t>Meade v. McVay</w:t>
      </w:r>
      <w:r w:rsidR="00E679F0" w:rsidRPr="00525C3E">
        <w:rPr>
          <w:szCs w:val="28"/>
        </w:rPr>
        <w:t xml:space="preserve"> (</w:t>
      </w:r>
      <w:r w:rsidR="00E679F0" w:rsidRPr="00525C3E">
        <w:rPr>
          <w:i/>
          <w:szCs w:val="28"/>
        </w:rPr>
        <w:t>In re Meade</w:t>
      </w:r>
      <w:r w:rsidR="00E679F0" w:rsidRPr="00525C3E">
        <w:rPr>
          <w:szCs w:val="28"/>
        </w:rPr>
        <w:t xml:space="preserve">), 384 B.R. 132 (W.D. Tex 2008) (opining that a debtor may expense car ownership only if the expense is “applicable” to him, which is demonstrated by his actually bearing a monthly expense for the ownership of his car, as shown by the language of the Bankruptcy Code, </w:t>
      </w:r>
      <w:r w:rsidR="00652D69" w:rsidRPr="00525C3E">
        <w:rPr>
          <w:szCs w:val="28"/>
        </w:rPr>
        <w:t>the IRS’ Financial Analysis Handbook, and existing case law).</w:t>
      </w:r>
    </w:p>
    <w:p w:rsidR="00652D69" w:rsidRPr="00525C3E" w:rsidRDefault="00652D69" w:rsidP="00F25702">
      <w:pPr>
        <w:ind w:firstLine="720"/>
        <w:rPr>
          <w:szCs w:val="28"/>
        </w:rPr>
      </w:pPr>
    </w:p>
    <w:p w:rsidR="005B551C" w:rsidRPr="00525C3E" w:rsidRDefault="005B551C" w:rsidP="000A0F94">
      <w:pPr>
        <w:ind w:left="2160"/>
        <w:rPr>
          <w:b/>
          <w:szCs w:val="28"/>
        </w:rPr>
      </w:pPr>
      <w:r w:rsidRPr="00525C3E">
        <w:rPr>
          <w:b/>
          <w:szCs w:val="28"/>
        </w:rPr>
        <w:t>ii.</w:t>
      </w:r>
      <w:r w:rsidRPr="00525C3E">
        <w:rPr>
          <w:b/>
          <w:szCs w:val="28"/>
        </w:rPr>
        <w:tab/>
        <w:t xml:space="preserve">May Expense </w:t>
      </w:r>
    </w:p>
    <w:p w:rsidR="005B551C" w:rsidRPr="00525C3E" w:rsidRDefault="005B551C" w:rsidP="005B551C">
      <w:pPr>
        <w:rPr>
          <w:szCs w:val="28"/>
        </w:rPr>
      </w:pPr>
    </w:p>
    <w:p w:rsidR="00A155DF" w:rsidRPr="00525C3E" w:rsidRDefault="0052563F" w:rsidP="00637CF1">
      <w:pPr>
        <w:ind w:firstLine="720"/>
      </w:pPr>
      <w:r w:rsidRPr="00525C3E">
        <w:rPr>
          <w:i/>
        </w:rPr>
        <w:t>eCAST Settlement</w:t>
      </w:r>
      <w:r w:rsidR="000808BE" w:rsidRPr="00525C3E">
        <w:rPr>
          <w:i/>
        </w:rPr>
        <w:t xml:space="preserve"> </w:t>
      </w:r>
      <w:r w:rsidRPr="00525C3E">
        <w:rPr>
          <w:i/>
        </w:rPr>
        <w:t xml:space="preserve">Corporation v. Washburn </w:t>
      </w:r>
      <w:r w:rsidRPr="00525C3E">
        <w:t>(</w:t>
      </w:r>
      <w:r w:rsidRPr="00525C3E">
        <w:rPr>
          <w:i/>
        </w:rPr>
        <w:t>In re Washburn</w:t>
      </w:r>
      <w:r w:rsidRPr="00525C3E">
        <w:t xml:space="preserve">), No. 08-2023, 2009 U.S. App. LEXIS 19400 (8th Cir. Aug. 28, 2009) (following </w:t>
      </w:r>
      <w:r w:rsidRPr="00525C3E">
        <w:rPr>
          <w:i/>
        </w:rPr>
        <w:t>Tate</w:t>
      </w:r>
      <w:r w:rsidRPr="00525C3E">
        <w:t xml:space="preserve"> and </w:t>
      </w:r>
      <w:r w:rsidRPr="00525C3E">
        <w:rPr>
          <w:i/>
        </w:rPr>
        <w:t>Ross-Tousey</w:t>
      </w:r>
      <w:r w:rsidRPr="00525C3E">
        <w:t xml:space="preserve"> and allowing vehicle ownership deduction for unen</w:t>
      </w:r>
      <w:r w:rsidR="00637CF1" w:rsidRPr="00525C3E">
        <w:t xml:space="preserve">cumbered vehicle in Chapter 13); </w:t>
      </w:r>
      <w:r w:rsidR="000B5B3A" w:rsidRPr="00525C3E">
        <w:rPr>
          <w:i/>
        </w:rPr>
        <w:t>Ross-Tousey v. Neary</w:t>
      </w:r>
      <w:r w:rsidR="000B5B3A" w:rsidRPr="00525C3E">
        <w:t xml:space="preserve"> (</w:t>
      </w:r>
      <w:r w:rsidR="000B5B3A" w:rsidRPr="00525C3E">
        <w:rPr>
          <w:i/>
        </w:rPr>
        <w:t>In re Ross-Tousey</w:t>
      </w:r>
      <w:r w:rsidR="000B5B3A" w:rsidRPr="00525C3E">
        <w:t>), 549 F.3d 1148 (7th Cir. 2008) (finding that a Chapter 7 debtor may deduct a vehicle ownership expense for a vehicle unencumbered by a loan or lease)</w:t>
      </w:r>
      <w:r w:rsidR="00637CF1" w:rsidRPr="00525C3E">
        <w:t xml:space="preserve">; </w:t>
      </w:r>
      <w:r w:rsidR="00A155DF" w:rsidRPr="00525C3E">
        <w:rPr>
          <w:i/>
        </w:rPr>
        <w:t>Tate v. Bolen</w:t>
      </w:r>
      <w:r w:rsidR="00A155DF" w:rsidRPr="00525C3E">
        <w:t xml:space="preserve">, No. 08-60953, 2009 App. LEXIS 12660 (5th Cir. June 10, 2009) (adopting </w:t>
      </w:r>
      <w:r w:rsidR="00A155DF" w:rsidRPr="00525C3E">
        <w:rPr>
          <w:i/>
        </w:rPr>
        <w:t>Ross-Tousey</w:t>
      </w:r>
      <w:r w:rsidR="00A155DF" w:rsidRPr="00525C3E">
        <w:t xml:space="preserve"> and allowing deduction of car ownership expense for une</w:t>
      </w:r>
      <w:r w:rsidR="00637CF1" w:rsidRPr="00525C3E">
        <w:t xml:space="preserve">ncumbered vehicle in Chapter 7); </w:t>
      </w:r>
      <w:r w:rsidR="00637CF1" w:rsidRPr="00525C3E">
        <w:rPr>
          <w:i/>
        </w:rPr>
        <w:t xml:space="preserve">Swimelar </w:t>
      </w:r>
      <w:r w:rsidR="00637CF1" w:rsidRPr="00525C3E">
        <w:rPr>
          <w:i/>
        </w:rPr>
        <w:lastRenderedPageBreak/>
        <w:t>v. Lamendola</w:t>
      </w:r>
      <w:r w:rsidR="00637CF1" w:rsidRPr="00525C3E">
        <w:t xml:space="preserve">, No. 08-1210, 2009 U.S. Dist. LEXIS 52047 (N.D.N.Y. June 19, 2009) (adopts </w:t>
      </w:r>
      <w:r w:rsidR="00637CF1" w:rsidRPr="00525C3E">
        <w:rPr>
          <w:i/>
        </w:rPr>
        <w:t>Ross-Tousey</w:t>
      </w:r>
      <w:r w:rsidR="00637CF1" w:rsidRPr="00525C3E">
        <w:t xml:space="preserve"> finding that may deduct ownership expense for car owned outright).</w:t>
      </w:r>
    </w:p>
    <w:p w:rsidR="000B5B3A" w:rsidRPr="00525C3E" w:rsidRDefault="000B5B3A" w:rsidP="005B551C">
      <w:pPr>
        <w:ind w:firstLine="720"/>
        <w:rPr>
          <w:i/>
        </w:rPr>
      </w:pPr>
    </w:p>
    <w:p w:rsidR="005B551C" w:rsidRPr="00525C3E" w:rsidRDefault="000B5B3A" w:rsidP="005B551C">
      <w:pPr>
        <w:ind w:firstLine="720"/>
      </w:pPr>
      <w:r w:rsidRPr="00525C3E">
        <w:rPr>
          <w:i/>
        </w:rPr>
        <w:t xml:space="preserve">See </w:t>
      </w:r>
      <w:r w:rsidR="005B551C" w:rsidRPr="00525C3E">
        <w:rPr>
          <w:i/>
        </w:rPr>
        <w:t>Pearson v. Stewart</w:t>
      </w:r>
      <w:r w:rsidR="005B551C" w:rsidRPr="00525C3E">
        <w:t xml:space="preserve"> (</w:t>
      </w:r>
      <w:r w:rsidR="005B551C" w:rsidRPr="00525C3E">
        <w:rPr>
          <w:i/>
        </w:rPr>
        <w:t>In re Pearson</w:t>
      </w:r>
      <w:r w:rsidR="005B551C" w:rsidRPr="00525C3E">
        <w:t>), 390 B.R. 706 (B.A.P. 10th Cir. 2008)</w:t>
      </w:r>
      <w:r w:rsidRPr="00525C3E">
        <w:t xml:space="preserve"> (noting a split of authorities, the court allowed debtors to deduct expenses for unencumbered vehicles)</w:t>
      </w:r>
      <w:r w:rsidR="00385B61" w:rsidRPr="00525C3E">
        <w:t xml:space="preserve">, </w:t>
      </w:r>
      <w:r w:rsidR="00385B61" w:rsidRPr="00525C3E">
        <w:rPr>
          <w:i/>
        </w:rPr>
        <w:t>vacated by sub nom.</w:t>
      </w:r>
      <w:r w:rsidR="00385B61" w:rsidRPr="00525C3E">
        <w:t>,</w:t>
      </w:r>
      <w:r w:rsidR="00385B61" w:rsidRPr="00525C3E">
        <w:rPr>
          <w:iCs/>
        </w:rPr>
        <w:t xml:space="preserve"> </w:t>
      </w:r>
      <w:r w:rsidR="00385B61" w:rsidRPr="00525C3E">
        <w:rPr>
          <w:i/>
          <w:iCs/>
        </w:rPr>
        <w:t xml:space="preserve">Stewart v. Pearson </w:t>
      </w:r>
      <w:r w:rsidR="00385B61" w:rsidRPr="00525C3E">
        <w:rPr>
          <w:iCs/>
        </w:rPr>
        <w:t>(</w:t>
      </w:r>
      <w:r w:rsidR="00385B61" w:rsidRPr="00525C3E">
        <w:rPr>
          <w:i/>
          <w:iCs/>
        </w:rPr>
        <w:t>In re Pearson</w:t>
      </w:r>
      <w:r w:rsidR="00385B61" w:rsidRPr="00525C3E">
        <w:rPr>
          <w:iCs/>
        </w:rPr>
        <w:t xml:space="preserve">), </w:t>
      </w:r>
      <w:r w:rsidR="00385B61" w:rsidRPr="00525C3E">
        <w:t xml:space="preserve">No. 08-8060, </w:t>
      </w:r>
      <w:r w:rsidR="00385B61" w:rsidRPr="00525C3E">
        <w:rPr>
          <w:iCs/>
        </w:rPr>
        <w:t>2009 U.S. App. LEXIS 2093 (10th Cir. Jan. 22, 2009)</w:t>
      </w:r>
      <w:r w:rsidRPr="00525C3E">
        <w:t xml:space="preserve">; </w:t>
      </w:r>
      <w:r w:rsidR="005B551C" w:rsidRPr="00525C3E">
        <w:rPr>
          <w:i/>
        </w:rPr>
        <w:t>Hildebrand v. Kimbro</w:t>
      </w:r>
      <w:r w:rsidR="005B551C" w:rsidRPr="00525C3E">
        <w:t xml:space="preserve"> (</w:t>
      </w:r>
      <w:r w:rsidR="005B551C" w:rsidRPr="00525C3E">
        <w:rPr>
          <w:i/>
        </w:rPr>
        <w:t>In re Kimbro</w:t>
      </w:r>
      <w:r w:rsidR="005B551C" w:rsidRPr="00525C3E">
        <w:t xml:space="preserve">), 389 B.R. 518 (B.A.P. 6th Cir. 2008), </w:t>
      </w:r>
      <w:r w:rsidR="005B551C" w:rsidRPr="00525C3E">
        <w:rPr>
          <w:i/>
        </w:rPr>
        <w:t>appeal docketed</w:t>
      </w:r>
      <w:r w:rsidR="005B551C" w:rsidRPr="00525C3E">
        <w:t>, No. 08-5871 (6th Cir. July 16, 2008)</w:t>
      </w:r>
      <w:r w:rsidRPr="00525C3E">
        <w:t xml:space="preserve"> (opining that</w:t>
      </w:r>
      <w:r w:rsidR="005B551C" w:rsidRPr="00525C3E">
        <w:t xml:space="preserve"> “a debtor may deduct an ownership expense for a vehicle regardless of whether the debtor has a debt o</w:t>
      </w:r>
      <w:r w:rsidRPr="00525C3E">
        <w:t>r lease payment on that vehicle” and r</w:t>
      </w:r>
      <w:r w:rsidR="005B551C" w:rsidRPr="00525C3E">
        <w:t>el</w:t>
      </w:r>
      <w:r w:rsidRPr="00525C3E">
        <w:t>ying</w:t>
      </w:r>
      <w:r w:rsidR="005B551C" w:rsidRPr="00525C3E">
        <w:t xml:space="preserve"> on its interpretation of the language of 11 U.S.C. § 707(b)(2)(A)(ii)(I), legislative history, the language of the Internal Revenue Service standard, disparate intentions and applications of the standard in tax and bankruptcy contexts, and, finally, on what it observed to be “the economic re</w:t>
      </w:r>
      <w:r w:rsidRPr="00525C3E">
        <w:t>alities of vehicle ownership</w:t>
      </w:r>
      <w:r w:rsidR="005B551C" w:rsidRPr="00525C3E">
        <w:t>”</w:t>
      </w:r>
      <w:r w:rsidR="005B551C" w:rsidRPr="00525C3E">
        <w:rPr>
          <w:rStyle w:val="FootnoteReference"/>
        </w:rPr>
        <w:footnoteReference w:id="6"/>
      </w:r>
      <w:r w:rsidRPr="00525C3E">
        <w:t xml:space="preserve">); </w:t>
      </w:r>
      <w:r w:rsidR="005B551C" w:rsidRPr="00525C3E">
        <w:fldChar w:fldCharType="begin"/>
      </w:r>
      <w:r w:rsidR="005B551C" w:rsidRPr="00525C3E">
        <w:instrText xml:space="preserve"> TC "</w:instrText>
      </w:r>
      <w:bookmarkStart w:id="0" w:name="_Toc204060194"/>
      <w:r w:rsidR="005B551C" w:rsidRPr="00525C3E">
        <w:instrText xml:space="preserve">The </w:instrText>
      </w:r>
      <w:r w:rsidR="005B551C" w:rsidRPr="00525C3E">
        <w:rPr>
          <w:i/>
        </w:rPr>
        <w:instrText>Kimbro</w:instrText>
      </w:r>
      <w:r w:rsidR="005B551C" w:rsidRPr="00525C3E">
        <w:instrText xml:space="preserve"> dissent</w:instrText>
      </w:r>
      <w:bookmarkEnd w:id="0"/>
      <w:r w:rsidR="005B551C" w:rsidRPr="00525C3E">
        <w:instrText xml:space="preserve">" \f C \l "2" </w:instrText>
      </w:r>
      <w:r w:rsidR="005B551C" w:rsidRPr="00525C3E">
        <w:fldChar w:fldCharType="end"/>
      </w:r>
    </w:p>
    <w:p w:rsidR="000B5B3A" w:rsidRPr="00525C3E" w:rsidRDefault="000B5B3A" w:rsidP="005B551C">
      <w:pPr>
        <w:ind w:firstLine="720"/>
        <w:rPr>
          <w:i/>
        </w:rPr>
      </w:pPr>
    </w:p>
    <w:p w:rsidR="005B551C" w:rsidRPr="00525C3E" w:rsidRDefault="000B5B3A" w:rsidP="005B551C">
      <w:pPr>
        <w:ind w:firstLine="720"/>
      </w:pPr>
      <w:r w:rsidRPr="00525C3E">
        <w:rPr>
          <w:i/>
        </w:rPr>
        <w:t xml:space="preserve">See also </w:t>
      </w:r>
      <w:r w:rsidR="005B551C" w:rsidRPr="00525C3E">
        <w:rPr>
          <w:i/>
        </w:rPr>
        <w:t>Brunner v. Armstrong</w:t>
      </w:r>
      <w:r w:rsidR="005B551C" w:rsidRPr="00525C3E">
        <w:t xml:space="preserve"> (</w:t>
      </w:r>
      <w:r w:rsidR="005B551C" w:rsidRPr="00525C3E">
        <w:rPr>
          <w:i/>
        </w:rPr>
        <w:t>In re Armstrong</w:t>
      </w:r>
      <w:r w:rsidR="005B551C" w:rsidRPr="00525C3E">
        <w:t>), 395 B.R. 127 (E.D. Wash. 2008)</w:t>
      </w:r>
      <w:r w:rsidRPr="00525C3E">
        <w:t xml:space="preserve"> (determining </w:t>
      </w:r>
      <w:r w:rsidR="005B551C" w:rsidRPr="00525C3E">
        <w:t xml:space="preserve">that “applicable” is synonymous with “appropriate” and identifies which standard to select </w:t>
      </w:r>
      <w:r w:rsidRPr="00525C3E">
        <w:t>and</w:t>
      </w:r>
      <w:r w:rsidR="005B551C" w:rsidRPr="00525C3E">
        <w:t xml:space="preserve"> </w:t>
      </w:r>
      <w:r w:rsidRPr="00525C3E">
        <w:t>distinguishing</w:t>
      </w:r>
      <w:r w:rsidR="005B551C" w:rsidRPr="00525C3E">
        <w:t xml:space="preserve"> “actual,” as used for Other Necessary Expenses, from “applicable,” as used for National and Local Standards, concluding that Congress did not intend to require a loan or lease payment as a prerequisite to a tra</w:t>
      </w:r>
      <w:r w:rsidRPr="00525C3E">
        <w:t xml:space="preserve">nsportation ownership deduction); </w:t>
      </w:r>
      <w:r w:rsidR="005B551C" w:rsidRPr="00525C3E">
        <w:rPr>
          <w:i/>
        </w:rPr>
        <w:t>Clippard v. Ragle</w:t>
      </w:r>
      <w:r w:rsidR="005B551C" w:rsidRPr="00525C3E">
        <w:t xml:space="preserve"> (</w:t>
      </w:r>
      <w:r w:rsidR="005B551C" w:rsidRPr="00525C3E">
        <w:rPr>
          <w:i/>
        </w:rPr>
        <w:t>In re Ragle</w:t>
      </w:r>
      <w:r w:rsidR="005B551C" w:rsidRPr="00525C3E">
        <w:t>)</w:t>
      </w:r>
      <w:r w:rsidR="00A84889" w:rsidRPr="00525C3E">
        <w:t>,</w:t>
      </w:r>
      <w:r w:rsidR="005B551C" w:rsidRPr="00525C3E">
        <w:t xml:space="preserve"> 395 B.R. 387 (E.D. Ky. 2008)</w:t>
      </w:r>
      <w:r w:rsidRPr="00525C3E">
        <w:t xml:space="preserve"> (finding that Chap</w:t>
      </w:r>
      <w:r w:rsidR="005B551C" w:rsidRPr="00525C3E">
        <w:t>ter 7 debtor may deduct the ownership expense for a car owned outright</w:t>
      </w:r>
      <w:r w:rsidRPr="00525C3E">
        <w:t xml:space="preserve"> because the </w:t>
      </w:r>
      <w:r w:rsidR="005B551C" w:rsidRPr="00525C3E">
        <w:t>Code requires different application of National Standards, Local Standards, and Other Necessary Expenses in bankruptcy than the IRS does in tax</w:t>
      </w:r>
      <w:r w:rsidRPr="00525C3E">
        <w:t>).</w:t>
      </w:r>
    </w:p>
    <w:p w:rsidR="005B551C" w:rsidRPr="00525C3E" w:rsidRDefault="005B551C" w:rsidP="00D975CD">
      <w:pPr>
        <w:ind w:left="1440" w:firstLine="720"/>
        <w:jc w:val="center"/>
        <w:rPr>
          <w:b/>
          <w:szCs w:val="28"/>
        </w:rPr>
      </w:pPr>
    </w:p>
    <w:p w:rsidR="005B551C" w:rsidRPr="00525C3E" w:rsidRDefault="00E268EB" w:rsidP="005B551C">
      <w:pPr>
        <w:numPr>
          <w:ilvl w:val="0"/>
          <w:numId w:val="11"/>
        </w:numPr>
        <w:rPr>
          <w:b/>
          <w:szCs w:val="28"/>
          <w:u w:val="single"/>
        </w:rPr>
      </w:pPr>
      <w:r w:rsidRPr="00525C3E">
        <w:rPr>
          <w:b/>
          <w:szCs w:val="28"/>
          <w:u w:val="single"/>
        </w:rPr>
        <w:t>Bankruptcy Court Review</w:t>
      </w:r>
    </w:p>
    <w:p w:rsidR="005B551C" w:rsidRPr="00525C3E" w:rsidRDefault="005B551C" w:rsidP="005B551C">
      <w:pPr>
        <w:rPr>
          <w:b/>
          <w:szCs w:val="28"/>
        </w:rPr>
      </w:pPr>
    </w:p>
    <w:p w:rsidR="00652D69" w:rsidRPr="00525C3E" w:rsidRDefault="008B54D6" w:rsidP="005B551C">
      <w:pPr>
        <w:numPr>
          <w:ilvl w:val="1"/>
          <w:numId w:val="11"/>
        </w:numPr>
        <w:rPr>
          <w:b/>
          <w:szCs w:val="28"/>
        </w:rPr>
      </w:pPr>
      <w:r w:rsidRPr="00525C3E">
        <w:rPr>
          <w:b/>
          <w:szCs w:val="28"/>
        </w:rPr>
        <w:t>May Not Expense</w:t>
      </w:r>
    </w:p>
    <w:p w:rsidR="003C5C75" w:rsidRPr="00525C3E" w:rsidRDefault="003C5C75" w:rsidP="00F25702">
      <w:pPr>
        <w:ind w:firstLine="720"/>
        <w:rPr>
          <w:szCs w:val="28"/>
        </w:rPr>
      </w:pPr>
    </w:p>
    <w:p w:rsidR="00421DA7" w:rsidRPr="00525C3E" w:rsidRDefault="004C3C68" w:rsidP="00040F20">
      <w:pPr>
        <w:ind w:firstLine="720"/>
        <w:rPr>
          <w:szCs w:val="28"/>
        </w:rPr>
      </w:pPr>
      <w:r w:rsidRPr="00525C3E">
        <w:rPr>
          <w:i/>
          <w:szCs w:val="28"/>
        </w:rPr>
        <w:t>In re Rabener</w:t>
      </w:r>
      <w:r w:rsidRPr="00525C3E">
        <w:rPr>
          <w:szCs w:val="28"/>
        </w:rPr>
        <w:t>, No. 09-75719, 2010 Bankr. LEXIS 289 (Bankr. E.D.N.Y. Jan. 21, 2010)</w:t>
      </w:r>
      <w:r w:rsidRPr="00525C3E">
        <w:rPr>
          <w:i/>
          <w:szCs w:val="28"/>
        </w:rPr>
        <w:t xml:space="preserve"> </w:t>
      </w:r>
      <w:r w:rsidR="00564B9D" w:rsidRPr="00525C3E">
        <w:rPr>
          <w:i/>
          <w:szCs w:val="28"/>
        </w:rPr>
        <w:t>In re Kafi</w:t>
      </w:r>
      <w:r w:rsidR="00564B9D" w:rsidRPr="00525C3E">
        <w:rPr>
          <w:szCs w:val="28"/>
        </w:rPr>
        <w:t>, No. 08-41023, 2009 Bankr. LEXIS 654 (Bankr. E.D. Tex. Mar. 12, 2009) (noting that bankruptcy and district courts within Fifth Circuit uniformly adopted view not to allow ownership expenses for unencumbered vehicles);</w:t>
      </w:r>
      <w:r w:rsidR="00564B9D" w:rsidRPr="00525C3E">
        <w:rPr>
          <w:i/>
          <w:szCs w:val="28"/>
        </w:rPr>
        <w:t xml:space="preserve"> </w:t>
      </w:r>
      <w:r w:rsidR="00FD2D94" w:rsidRPr="00525C3E">
        <w:rPr>
          <w:i/>
          <w:szCs w:val="28"/>
        </w:rPr>
        <w:t>In re Canales</w:t>
      </w:r>
      <w:r w:rsidR="00FD2D94" w:rsidRPr="00525C3E">
        <w:rPr>
          <w:szCs w:val="28"/>
        </w:rPr>
        <w:t>, 377 B.R. 658</w:t>
      </w:r>
      <w:r w:rsidR="00C86ABB" w:rsidRPr="00525C3E">
        <w:rPr>
          <w:szCs w:val="28"/>
        </w:rPr>
        <w:t>, 665-66</w:t>
      </w:r>
      <w:r w:rsidR="00FD2D94" w:rsidRPr="00525C3E">
        <w:rPr>
          <w:szCs w:val="28"/>
        </w:rPr>
        <w:t xml:space="preserve"> (Bankr. C.D. Cal. 2007)</w:t>
      </w:r>
      <w:r w:rsidR="00C86ABB" w:rsidRPr="00525C3E">
        <w:rPr>
          <w:szCs w:val="28"/>
        </w:rPr>
        <w:t xml:space="preserve"> (“[T]he Court reads the t</w:t>
      </w:r>
      <w:r w:rsidR="00785CEA" w:rsidRPr="00525C3E">
        <w:rPr>
          <w:szCs w:val="28"/>
        </w:rPr>
        <w:t>erm ‘applicable’ in</w:t>
      </w:r>
      <w:r w:rsidR="00330D94" w:rsidRPr="00525C3E">
        <w:rPr>
          <w:szCs w:val="28"/>
        </w:rPr>
        <w:t xml:space="preserve"> </w:t>
      </w:r>
      <w:r w:rsidR="00785CEA" w:rsidRPr="00525C3E">
        <w:rPr>
          <w:szCs w:val="28"/>
        </w:rPr>
        <w:t>§ 707(b)(2)</w:t>
      </w:r>
      <w:r w:rsidR="00C86ABB" w:rsidRPr="00525C3E">
        <w:rPr>
          <w:szCs w:val="28"/>
        </w:rPr>
        <w:t>(A)(ii)(I) to require that the debtor make some lease or loan payment on a vehicle in order to be entitled to claim a deduction for transportation ownership expenses.”)</w:t>
      </w:r>
      <w:r w:rsidR="007D170D" w:rsidRPr="00525C3E">
        <w:rPr>
          <w:szCs w:val="28"/>
        </w:rPr>
        <w:t xml:space="preserve">; </w:t>
      </w:r>
      <w:r w:rsidR="007D170D" w:rsidRPr="00525C3E">
        <w:rPr>
          <w:i/>
          <w:szCs w:val="28"/>
        </w:rPr>
        <w:t>see also</w:t>
      </w:r>
      <w:r w:rsidR="007D170D" w:rsidRPr="00525C3E">
        <w:rPr>
          <w:szCs w:val="28"/>
        </w:rPr>
        <w:t xml:space="preserve"> </w:t>
      </w:r>
      <w:r w:rsidR="00FD2D94" w:rsidRPr="00525C3E">
        <w:rPr>
          <w:szCs w:val="28"/>
        </w:rPr>
        <w:fldChar w:fldCharType="begin"/>
      </w:r>
      <w:r w:rsidR="00FD2D94" w:rsidRPr="00525C3E">
        <w:rPr>
          <w:szCs w:val="28"/>
        </w:rPr>
        <w:instrText xml:space="preserve"> TA \l "</w:instrText>
      </w:r>
      <w:r w:rsidR="00FD2D94" w:rsidRPr="00525C3E">
        <w:rPr>
          <w:i/>
          <w:szCs w:val="28"/>
        </w:rPr>
        <w:instrText>In re Canales</w:instrText>
      </w:r>
      <w:r w:rsidR="00FD2D94" w:rsidRPr="00525C3E">
        <w:rPr>
          <w:szCs w:val="28"/>
        </w:rPr>
        <w:instrText xml:space="preserve">, 377 B.R. 658 (Bankr. C.D. Cal. 2007)" \s "Canales, 377 B.R." \c 1 </w:instrText>
      </w:r>
      <w:r w:rsidR="00FD2D94" w:rsidRPr="00525C3E">
        <w:rPr>
          <w:szCs w:val="28"/>
        </w:rPr>
        <w:fldChar w:fldCharType="end"/>
      </w:r>
      <w:r w:rsidR="00FD2D94" w:rsidRPr="00525C3E">
        <w:rPr>
          <w:i/>
          <w:szCs w:val="28"/>
        </w:rPr>
        <w:fldChar w:fldCharType="begin"/>
      </w:r>
      <w:r w:rsidR="00FD2D94" w:rsidRPr="00525C3E">
        <w:rPr>
          <w:szCs w:val="28"/>
        </w:rPr>
        <w:instrText xml:space="preserve"> TA \l "</w:instrText>
      </w:r>
      <w:r w:rsidR="00FD2D94" w:rsidRPr="00525C3E">
        <w:rPr>
          <w:i/>
          <w:szCs w:val="28"/>
        </w:rPr>
        <w:instrText>In re Bennett</w:instrText>
      </w:r>
      <w:r w:rsidR="00FD2D94" w:rsidRPr="00525C3E">
        <w:rPr>
          <w:szCs w:val="28"/>
        </w:rPr>
        <w:instrText xml:space="preserve">, 371 B.R. 440 (Bankr. C.D. Cal. 2007)" \s "Bennett, 371 B.R." \c 1 </w:instrText>
      </w:r>
      <w:r w:rsidR="00FD2D94" w:rsidRPr="00525C3E">
        <w:rPr>
          <w:i/>
          <w:szCs w:val="28"/>
        </w:rPr>
        <w:fldChar w:fldCharType="end"/>
      </w:r>
      <w:r w:rsidR="00FD2D94" w:rsidRPr="00525C3E">
        <w:rPr>
          <w:i/>
          <w:szCs w:val="28"/>
        </w:rPr>
        <w:t>In re Bennett</w:t>
      </w:r>
      <w:r w:rsidR="00FD2D94" w:rsidRPr="00525C3E">
        <w:rPr>
          <w:szCs w:val="28"/>
        </w:rPr>
        <w:t>, 371 B</w:t>
      </w:r>
      <w:r w:rsidR="007D170D" w:rsidRPr="00525C3E">
        <w:rPr>
          <w:szCs w:val="28"/>
        </w:rPr>
        <w:t xml:space="preserve">.R. 440 (Bankr. C.D. Cal. 2007); </w:t>
      </w:r>
      <w:r w:rsidR="00337C6E" w:rsidRPr="00525C3E">
        <w:rPr>
          <w:i/>
        </w:rPr>
        <w:t>In re Hardacre</w:t>
      </w:r>
      <w:r w:rsidR="00337C6E" w:rsidRPr="00525C3E">
        <w:t xml:space="preserve">, 338 B.R. 718 (Bankr. N.D. </w:t>
      </w:r>
      <w:smartTag w:uri="urn:schemas-microsoft-com:office:smarttags" w:element="State">
        <w:smartTag w:uri="urn:schemas-microsoft-com:office:smarttags" w:element="place">
          <w:r w:rsidR="00337C6E" w:rsidRPr="00525C3E">
            <w:t>Tex.</w:t>
          </w:r>
        </w:smartTag>
      </w:smartTag>
      <w:r w:rsidR="00337C6E" w:rsidRPr="00525C3E">
        <w:t xml:space="preserve"> 2006)</w:t>
      </w:r>
      <w:r w:rsidR="00337C6E" w:rsidRPr="00525C3E">
        <w:fldChar w:fldCharType="begin"/>
      </w:r>
      <w:r w:rsidR="00337C6E" w:rsidRPr="00525C3E">
        <w:instrText xml:space="preserve"> TA \l "</w:instrText>
      </w:r>
      <w:r w:rsidR="00337C6E" w:rsidRPr="00525C3E">
        <w:rPr>
          <w:i/>
        </w:rPr>
        <w:instrText>In re Hardacre</w:instrText>
      </w:r>
      <w:r w:rsidR="00337C6E" w:rsidRPr="00525C3E">
        <w:instrText xml:space="preserve">, 338 B.R. 718 (Bankr. N.D. Tex. 2006)" \s "In re Hardacre, 338 B.R." \c 1 </w:instrText>
      </w:r>
      <w:r w:rsidR="00337C6E" w:rsidRPr="00525C3E">
        <w:fldChar w:fldCharType="end"/>
      </w:r>
      <w:r w:rsidR="007D170D" w:rsidRPr="00525C3E">
        <w:t xml:space="preserve">; </w:t>
      </w:r>
      <w:r w:rsidR="00423875" w:rsidRPr="00525C3E">
        <w:rPr>
          <w:i/>
          <w:szCs w:val="28"/>
        </w:rPr>
        <w:t>In re McGuire</w:t>
      </w:r>
      <w:r w:rsidR="00423875" w:rsidRPr="00525C3E">
        <w:rPr>
          <w:szCs w:val="28"/>
        </w:rPr>
        <w:t>, 342 B.R. 608 (Bankr. W.D. Mo. 2006)</w:t>
      </w:r>
      <w:r w:rsidR="007D170D" w:rsidRPr="00525C3E">
        <w:rPr>
          <w:szCs w:val="28"/>
        </w:rPr>
        <w:t xml:space="preserve">; </w:t>
      </w:r>
      <w:r w:rsidR="00040F20" w:rsidRPr="00525C3E">
        <w:rPr>
          <w:i/>
          <w:szCs w:val="28"/>
        </w:rPr>
        <w:t>In re Wiggs</w:t>
      </w:r>
      <w:r w:rsidR="00040F20" w:rsidRPr="00525C3E">
        <w:rPr>
          <w:szCs w:val="28"/>
        </w:rPr>
        <w:t xml:space="preserve">, No. 06 B 70203, 2006 Bankr. LEXIS 1547 </w:t>
      </w:r>
      <w:r w:rsidR="00040F20" w:rsidRPr="00525C3E">
        <w:rPr>
          <w:szCs w:val="28"/>
        </w:rPr>
        <w:lastRenderedPageBreak/>
        <w:t xml:space="preserve">(Bankr. N.D. </w:t>
      </w:r>
      <w:smartTag w:uri="urn:schemas-microsoft-com:office:smarttags" w:element="State">
        <w:smartTag w:uri="urn:schemas-microsoft-com:office:smarttags" w:element="place">
          <w:r w:rsidR="00040F20" w:rsidRPr="00525C3E">
            <w:rPr>
              <w:szCs w:val="28"/>
            </w:rPr>
            <w:t>Ill.</w:t>
          </w:r>
        </w:smartTag>
      </w:smartTag>
      <w:r w:rsidR="00040F20" w:rsidRPr="00525C3E">
        <w:rPr>
          <w:szCs w:val="28"/>
        </w:rPr>
        <w:t xml:space="preserve"> Aug. 4, 2006)</w:t>
      </w:r>
      <w:r w:rsidR="007D170D" w:rsidRPr="00525C3E">
        <w:rPr>
          <w:szCs w:val="28"/>
        </w:rPr>
        <w:t xml:space="preserve">; </w:t>
      </w:r>
      <w:r w:rsidR="00421DA7" w:rsidRPr="00525C3E">
        <w:rPr>
          <w:i/>
          <w:szCs w:val="28"/>
        </w:rPr>
        <w:t>In re Lara</w:t>
      </w:r>
      <w:r w:rsidR="00421DA7" w:rsidRPr="00525C3E">
        <w:rPr>
          <w:szCs w:val="28"/>
        </w:rPr>
        <w:t xml:space="preserve">, 347 B.R. 198 (Bankr. N.D. </w:t>
      </w:r>
      <w:smartTag w:uri="urn:schemas-microsoft-com:office:smarttags" w:element="State">
        <w:smartTag w:uri="urn:schemas-microsoft-com:office:smarttags" w:element="place">
          <w:r w:rsidR="00421DA7" w:rsidRPr="00525C3E">
            <w:rPr>
              <w:szCs w:val="28"/>
            </w:rPr>
            <w:t>Tex.</w:t>
          </w:r>
        </w:smartTag>
      </w:smartTag>
      <w:r w:rsidR="007D170D" w:rsidRPr="00525C3E">
        <w:rPr>
          <w:szCs w:val="28"/>
        </w:rPr>
        <w:t xml:space="preserve"> 2006); </w:t>
      </w:r>
      <w:r w:rsidR="00886C68" w:rsidRPr="00525C3E">
        <w:rPr>
          <w:i/>
          <w:szCs w:val="28"/>
        </w:rPr>
        <w:t>In re Carlin</w:t>
      </w:r>
      <w:r w:rsidR="00886C68" w:rsidRPr="00525C3E">
        <w:rPr>
          <w:szCs w:val="28"/>
        </w:rPr>
        <w:t>, 348 B.R. 795 (Bankr. D. Or. 2006).</w:t>
      </w:r>
    </w:p>
    <w:p w:rsidR="00652D69" w:rsidRPr="00525C3E" w:rsidRDefault="00652D69" w:rsidP="00040F20">
      <w:pPr>
        <w:ind w:firstLine="720"/>
        <w:rPr>
          <w:szCs w:val="28"/>
        </w:rPr>
      </w:pPr>
    </w:p>
    <w:p w:rsidR="00652D69" w:rsidRPr="00525C3E" w:rsidRDefault="000B5B3A" w:rsidP="000B5B3A">
      <w:pPr>
        <w:ind w:left="2160" w:firstLine="720"/>
        <w:rPr>
          <w:b/>
          <w:szCs w:val="28"/>
        </w:rPr>
      </w:pPr>
      <w:r w:rsidRPr="00525C3E">
        <w:rPr>
          <w:b/>
          <w:szCs w:val="28"/>
        </w:rPr>
        <w:t>ii</w:t>
      </w:r>
      <w:r w:rsidR="008D5E9A" w:rsidRPr="00525C3E">
        <w:rPr>
          <w:b/>
          <w:szCs w:val="28"/>
        </w:rPr>
        <w:t>.</w:t>
      </w:r>
      <w:r w:rsidR="00D975CD" w:rsidRPr="00525C3E">
        <w:rPr>
          <w:b/>
          <w:szCs w:val="28"/>
        </w:rPr>
        <w:tab/>
      </w:r>
      <w:r w:rsidR="008D5E9A" w:rsidRPr="00525C3E">
        <w:rPr>
          <w:b/>
          <w:szCs w:val="28"/>
        </w:rPr>
        <w:t>May E</w:t>
      </w:r>
      <w:r w:rsidR="00652D69" w:rsidRPr="00525C3E">
        <w:rPr>
          <w:b/>
          <w:szCs w:val="28"/>
        </w:rPr>
        <w:t>xpense</w:t>
      </w:r>
    </w:p>
    <w:p w:rsidR="00652D69" w:rsidRPr="00525C3E" w:rsidRDefault="00652D69" w:rsidP="00652D69">
      <w:pPr>
        <w:jc w:val="center"/>
        <w:rPr>
          <w:b/>
          <w:szCs w:val="28"/>
        </w:rPr>
      </w:pPr>
    </w:p>
    <w:p w:rsidR="00FB0DD2" w:rsidRPr="00525C3E" w:rsidRDefault="007D170D" w:rsidP="000E4C0B">
      <w:pPr>
        <w:ind w:firstLine="720"/>
      </w:pPr>
      <w:r w:rsidRPr="00525C3E">
        <w:rPr>
          <w:bCs/>
          <w:i/>
        </w:rPr>
        <w:t xml:space="preserve">See </w:t>
      </w:r>
      <w:r w:rsidR="00A84889" w:rsidRPr="00525C3E">
        <w:rPr>
          <w:bCs/>
          <w:i/>
        </w:rPr>
        <w:t>In re Mati</w:t>
      </w:r>
      <w:r w:rsidR="00A84889" w:rsidRPr="00525C3E">
        <w:rPr>
          <w:bCs/>
        </w:rPr>
        <w:t xml:space="preserve">, 390 B.R. 11 (Bankr. D. </w:t>
      </w:r>
      <w:smartTag w:uri="urn:schemas-microsoft-com:office:smarttags" w:element="State">
        <w:smartTag w:uri="urn:schemas-microsoft-com:office:smarttags" w:element="place">
          <w:r w:rsidR="00A84889" w:rsidRPr="00525C3E">
            <w:rPr>
              <w:bCs/>
            </w:rPr>
            <w:t>Mass.</w:t>
          </w:r>
        </w:smartTag>
      </w:smartTag>
      <w:r w:rsidR="00A84889" w:rsidRPr="00525C3E">
        <w:rPr>
          <w:bCs/>
        </w:rPr>
        <w:t xml:space="preserve"> 2008); </w:t>
      </w:r>
      <w:r w:rsidR="00A84889" w:rsidRPr="00525C3E">
        <w:rPr>
          <w:bCs/>
          <w:i/>
        </w:rPr>
        <w:t>In re Watson</w:t>
      </w:r>
      <w:r w:rsidR="00A84889" w:rsidRPr="00525C3E">
        <w:rPr>
          <w:bCs/>
        </w:rPr>
        <w:t xml:space="preserve">, 366 B.R. 523 (Bankr. D. </w:t>
      </w:r>
      <w:smartTag w:uri="urn:schemas-microsoft-com:office:smarttags" w:element="State">
        <w:smartTag w:uri="urn:schemas-microsoft-com:office:smarttags" w:element="place">
          <w:r w:rsidR="00A84889" w:rsidRPr="00525C3E">
            <w:rPr>
              <w:bCs/>
            </w:rPr>
            <w:t>Md.</w:t>
          </w:r>
        </w:smartTag>
      </w:smartTag>
      <w:r w:rsidR="00A84889" w:rsidRPr="00525C3E">
        <w:rPr>
          <w:bCs/>
        </w:rPr>
        <w:t xml:space="preserve"> 2007); </w:t>
      </w:r>
      <w:r w:rsidR="00A84889" w:rsidRPr="00525C3E">
        <w:rPr>
          <w:bCs/>
          <w:i/>
        </w:rPr>
        <w:t>In re Chamberlain</w:t>
      </w:r>
      <w:r w:rsidR="00A84889" w:rsidRPr="00525C3E">
        <w:rPr>
          <w:bCs/>
        </w:rPr>
        <w:t xml:space="preserve">, 369 B.R. 519 (Bankr. D. </w:t>
      </w:r>
      <w:smartTag w:uri="urn:schemas-microsoft-com:office:smarttags" w:element="State">
        <w:smartTag w:uri="urn:schemas-microsoft-com:office:smarttags" w:element="place">
          <w:r w:rsidR="00A84889" w:rsidRPr="00525C3E">
            <w:rPr>
              <w:bCs/>
            </w:rPr>
            <w:t>Ariz.</w:t>
          </w:r>
        </w:smartTag>
      </w:smartTag>
      <w:r w:rsidR="00A84889" w:rsidRPr="00525C3E">
        <w:rPr>
          <w:bCs/>
        </w:rPr>
        <w:t xml:space="preserve"> 2007); </w:t>
      </w:r>
      <w:r w:rsidR="00A84889" w:rsidRPr="00525C3E">
        <w:rPr>
          <w:bCs/>
          <w:i/>
        </w:rPr>
        <w:t>In re Billie</w:t>
      </w:r>
      <w:r w:rsidR="00A84889" w:rsidRPr="00525C3E">
        <w:rPr>
          <w:bCs/>
        </w:rPr>
        <w:t xml:space="preserve">, 367 B.R. 586 (Bankr. N.D. Ohio 2007); </w:t>
      </w:r>
      <w:r w:rsidR="00A84889" w:rsidRPr="00525C3E">
        <w:rPr>
          <w:bCs/>
          <w:i/>
        </w:rPr>
        <w:t>In re Vesper</w:t>
      </w:r>
      <w:r w:rsidR="00A84889" w:rsidRPr="00525C3E">
        <w:rPr>
          <w:bCs/>
        </w:rPr>
        <w:t xml:space="preserve">, 371 B.R. 426 (Bankr. D. Ak. 2007); </w:t>
      </w:r>
      <w:r w:rsidR="00A84889" w:rsidRPr="00525C3E">
        <w:rPr>
          <w:i/>
          <w:iCs/>
        </w:rPr>
        <w:t>In re Barrett</w:t>
      </w:r>
      <w:r w:rsidR="00A84889" w:rsidRPr="00525C3E">
        <w:rPr>
          <w:iCs/>
        </w:rPr>
        <w:t xml:space="preserve">, 371 B.R. 855 (Bankr. S.D. </w:t>
      </w:r>
      <w:smartTag w:uri="urn:schemas-microsoft-com:office:smarttags" w:element="State">
        <w:smartTag w:uri="urn:schemas-microsoft-com:office:smarttags" w:element="place">
          <w:r w:rsidR="00A84889" w:rsidRPr="00525C3E">
            <w:rPr>
              <w:iCs/>
            </w:rPr>
            <w:t>Ill.</w:t>
          </w:r>
        </w:smartTag>
      </w:smartTag>
      <w:r w:rsidR="00A84889" w:rsidRPr="00525C3E">
        <w:rPr>
          <w:iCs/>
        </w:rPr>
        <w:t xml:space="preserve"> 2007); </w:t>
      </w:r>
      <w:r w:rsidR="00A84889" w:rsidRPr="00525C3E">
        <w:rPr>
          <w:bCs/>
          <w:i/>
          <w:iCs/>
        </w:rPr>
        <w:t>In re Hylton</w:t>
      </w:r>
      <w:r w:rsidR="00A84889" w:rsidRPr="00525C3E">
        <w:rPr>
          <w:bCs/>
          <w:iCs/>
        </w:rPr>
        <w:t>, 374 B.R. 579</w:t>
      </w:r>
      <w:r w:rsidR="00A84889" w:rsidRPr="00525C3E">
        <w:rPr>
          <w:b/>
          <w:bCs/>
          <w:iCs/>
        </w:rPr>
        <w:t xml:space="preserve"> </w:t>
      </w:r>
      <w:r w:rsidR="00A84889" w:rsidRPr="00525C3E">
        <w:rPr>
          <w:iCs/>
        </w:rPr>
        <w:t xml:space="preserve">(Bankr. W.D. Va. 2007); </w:t>
      </w:r>
      <w:r w:rsidR="00FB0DD2" w:rsidRPr="00525C3E">
        <w:rPr>
          <w:bCs/>
          <w:i/>
        </w:rPr>
        <w:t xml:space="preserve">In re </w:t>
      </w:r>
      <w:r w:rsidR="008D5E9A" w:rsidRPr="00525C3E">
        <w:rPr>
          <w:bCs/>
          <w:i/>
        </w:rPr>
        <w:t>Fowler</w:t>
      </w:r>
      <w:r w:rsidR="00FB0DD2" w:rsidRPr="00525C3E">
        <w:t>, 349 B.R. 414 (Bankr</w:t>
      </w:r>
      <w:r w:rsidR="008D5E9A" w:rsidRPr="00525C3E">
        <w:t xml:space="preserve">. </w:t>
      </w:r>
      <w:r w:rsidR="00FB0DD2" w:rsidRPr="00525C3E">
        <w:t>D</w:t>
      </w:r>
      <w:r w:rsidR="008D5E9A" w:rsidRPr="00525C3E">
        <w:t>.</w:t>
      </w:r>
      <w:r w:rsidR="00FB0DD2" w:rsidRPr="00525C3E">
        <w:t xml:space="preserve"> Del. 2006)</w:t>
      </w:r>
      <w:r w:rsidRPr="00525C3E">
        <w:t xml:space="preserve">; </w:t>
      </w:r>
      <w:r w:rsidR="00FB0DD2" w:rsidRPr="00525C3E">
        <w:rPr>
          <w:bCs/>
          <w:i/>
        </w:rPr>
        <w:t>In re G</w:t>
      </w:r>
      <w:r w:rsidR="008D5E9A" w:rsidRPr="00525C3E">
        <w:rPr>
          <w:bCs/>
          <w:i/>
        </w:rPr>
        <w:t>runert</w:t>
      </w:r>
      <w:r w:rsidR="00FB0DD2" w:rsidRPr="00525C3E">
        <w:t>, 353 B.R. 591 (Bankr</w:t>
      </w:r>
      <w:r w:rsidR="008D5E9A" w:rsidRPr="00525C3E">
        <w:t>.</w:t>
      </w:r>
      <w:r w:rsidR="00FB0DD2" w:rsidRPr="00525C3E">
        <w:t xml:space="preserve"> E</w:t>
      </w:r>
      <w:r w:rsidR="008D5E9A" w:rsidRPr="00525C3E">
        <w:t>.</w:t>
      </w:r>
      <w:r w:rsidR="00FB0DD2" w:rsidRPr="00525C3E">
        <w:t>D</w:t>
      </w:r>
      <w:r w:rsidR="008D5E9A" w:rsidRPr="00525C3E">
        <w:t>.</w:t>
      </w:r>
      <w:r w:rsidR="00FB0DD2" w:rsidRPr="00525C3E">
        <w:t xml:space="preserve"> Wis. 2006</w:t>
      </w:r>
      <w:r w:rsidR="00A84889" w:rsidRPr="00525C3E">
        <w:t>).</w:t>
      </w:r>
    </w:p>
    <w:p w:rsidR="00FB0DD2" w:rsidRPr="00525C3E" w:rsidRDefault="00FB0DD2" w:rsidP="000E4C0B">
      <w:pPr>
        <w:ind w:firstLine="720"/>
      </w:pPr>
    </w:p>
    <w:p w:rsidR="00F52476" w:rsidRPr="00525C3E" w:rsidRDefault="00B20A02" w:rsidP="00D975CD">
      <w:pPr>
        <w:pStyle w:val="Heading3"/>
        <w:numPr>
          <w:ilvl w:val="0"/>
          <w:numId w:val="13"/>
        </w:numPr>
        <w:rPr>
          <w:rFonts w:ascii="Times New Roman" w:hAnsi="Times New Roman"/>
          <w:sz w:val="24"/>
        </w:rPr>
      </w:pPr>
      <w:r w:rsidRPr="00525C3E">
        <w:rPr>
          <w:rFonts w:ascii="Times New Roman" w:hAnsi="Times New Roman"/>
          <w:sz w:val="24"/>
        </w:rPr>
        <w:t>Applicability of Internal Revenue Manual</w:t>
      </w:r>
      <w:r w:rsidR="00EC282B" w:rsidRPr="00525C3E">
        <w:rPr>
          <w:rFonts w:ascii="Times New Roman" w:hAnsi="Times New Roman"/>
          <w:sz w:val="24"/>
        </w:rPr>
        <w:t>: Actual Expenses o</w:t>
      </w:r>
      <w:r w:rsidR="00F52476" w:rsidRPr="00525C3E">
        <w:rPr>
          <w:rFonts w:ascii="Times New Roman" w:hAnsi="Times New Roman"/>
          <w:sz w:val="24"/>
        </w:rPr>
        <w:t xml:space="preserve">r Allowed Expenses, Whichever </w:t>
      </w:r>
      <w:r w:rsidR="00EC282B" w:rsidRPr="00525C3E">
        <w:rPr>
          <w:rFonts w:ascii="Times New Roman" w:hAnsi="Times New Roman"/>
          <w:sz w:val="24"/>
        </w:rPr>
        <w:t>i</w:t>
      </w:r>
      <w:r w:rsidR="00F52476" w:rsidRPr="00525C3E">
        <w:rPr>
          <w:rFonts w:ascii="Times New Roman" w:hAnsi="Times New Roman"/>
          <w:sz w:val="24"/>
        </w:rPr>
        <w:t>s Less</w:t>
      </w:r>
    </w:p>
    <w:p w:rsidR="00F52476" w:rsidRPr="00525C3E" w:rsidRDefault="00F52476" w:rsidP="00F52476">
      <w:pPr>
        <w:keepNext/>
        <w:ind w:firstLine="720"/>
      </w:pPr>
    </w:p>
    <w:p w:rsidR="00F52476" w:rsidRPr="00525C3E" w:rsidRDefault="00F52476" w:rsidP="00F52476">
      <w:pPr>
        <w:ind w:firstLine="720"/>
      </w:pPr>
      <w:r w:rsidRPr="00525C3E">
        <w:t xml:space="preserve">An </w:t>
      </w:r>
      <w:r w:rsidR="008D5E9A" w:rsidRPr="00525C3E">
        <w:t>“a</w:t>
      </w:r>
      <w:r w:rsidRPr="00525C3E">
        <w:t>bove</w:t>
      </w:r>
      <w:r w:rsidR="00DA777F" w:rsidRPr="00525C3E">
        <w:t xml:space="preserve"> </w:t>
      </w:r>
      <w:r w:rsidRPr="00525C3E">
        <w:t>median</w:t>
      </w:r>
      <w:r w:rsidR="008D5E9A" w:rsidRPr="00525C3E">
        <w:t>”</w:t>
      </w:r>
      <w:r w:rsidRPr="00525C3E">
        <w:t xml:space="preserve"> debtor’s allowable expense amounts, as organized by the regime employed by the Internal Revenue Service, as shown in Internal Revenue Manual</w:t>
      </w:r>
      <w:r w:rsidRPr="00525C3E">
        <w:fldChar w:fldCharType="begin"/>
      </w:r>
      <w:r w:rsidRPr="00525C3E">
        <w:instrText xml:space="preserve"> TA \s "Internal Revenue Manual" </w:instrText>
      </w:r>
      <w:r w:rsidRPr="00525C3E">
        <w:fldChar w:fldCharType="end"/>
      </w:r>
      <w:r w:rsidRPr="00525C3E">
        <w:t xml:space="preserve"> 5.15.1.7, item 2., and adopted by the Bankruptcy Code, 11 U.S.C. § 707(b)(2)(A)(ii)(I)</w:t>
      </w:r>
      <w:r w:rsidRPr="00525C3E">
        <w:fldChar w:fldCharType="begin"/>
      </w:r>
      <w:r w:rsidRPr="00525C3E">
        <w:instrText xml:space="preserve"> TA \s "11 U.S.C. § 707(b)(2)"</w:instrText>
      </w:r>
      <w:r w:rsidRPr="00525C3E">
        <w:fldChar w:fldCharType="end"/>
      </w:r>
      <w:r w:rsidRPr="00525C3E">
        <w:t>, fall into three categories: the amounts specified under the National Standards such as those for apparel and services, food, housekeeping supplies, personal care products and services, and miscellaneous; those specified under the Local Standards for housing and transportation; and those specifi</w:t>
      </w:r>
      <w:r w:rsidR="008D5E9A" w:rsidRPr="00525C3E">
        <w:t>ed as Other Necessary Expenses.</w:t>
      </w:r>
      <w:r w:rsidR="00330D94" w:rsidRPr="00525C3E">
        <w:t xml:space="preserve"> </w:t>
      </w:r>
      <w:r w:rsidRPr="00525C3E">
        <w:t>These are detailed in Internal Revenue Manual</w:t>
      </w:r>
      <w:r w:rsidRPr="00525C3E">
        <w:fldChar w:fldCharType="begin"/>
      </w:r>
      <w:r w:rsidRPr="00525C3E">
        <w:instrText xml:space="preserve"> TA \s "Internal Revenue Manual" </w:instrText>
      </w:r>
      <w:r w:rsidRPr="00525C3E">
        <w:fldChar w:fldCharType="end"/>
      </w:r>
      <w:r w:rsidR="00632E23" w:rsidRPr="00525C3E">
        <w:t xml:space="preserve"> 5.15.1.7, items 3</w:t>
      </w:r>
      <w:r w:rsidRPr="00525C3E">
        <w:t>, 4, and 5; 5.15.1.8, 5.15.1.9, and 5.15.1.10.</w:t>
      </w:r>
    </w:p>
    <w:p w:rsidR="00F52476" w:rsidRPr="00525C3E" w:rsidRDefault="00F52476" w:rsidP="00F52476">
      <w:pPr>
        <w:ind w:firstLine="720"/>
      </w:pPr>
    </w:p>
    <w:p w:rsidR="00F52476" w:rsidRPr="00525C3E" w:rsidRDefault="00F52476" w:rsidP="00F52476">
      <w:pPr>
        <w:ind w:firstLine="720"/>
      </w:pPr>
      <w:r w:rsidRPr="00525C3E">
        <w:t xml:space="preserve">Other allowable expenses include those reasonably necessary for </w:t>
      </w:r>
      <w:r w:rsidR="006F6963" w:rsidRPr="00525C3E">
        <w:t xml:space="preserve">the </w:t>
      </w:r>
      <w:r w:rsidRPr="00525C3E">
        <w:t>debtor’s and his family’s health and disability insurance, for health savings accounts, for those reasonably necessary to safeguard the debtor and his family from family violence, and an additional five percent over the Internal Revenue Service amounts for food and apparel.</w:t>
      </w:r>
      <w:r w:rsidR="00330D94" w:rsidRPr="00525C3E">
        <w:t xml:space="preserve"> </w:t>
      </w:r>
      <w:r w:rsidRPr="00525C3E">
        <w:t>11 U.S.C. § 707(b)(2)(A)(ii)(I)</w:t>
      </w:r>
      <w:r w:rsidRPr="00525C3E">
        <w:fldChar w:fldCharType="begin"/>
      </w:r>
      <w:r w:rsidRPr="00525C3E">
        <w:instrText xml:space="preserve"> TA \s "11 U.S.C. § 707(b)(2)" </w:instrText>
      </w:r>
      <w:r w:rsidRPr="00525C3E">
        <w:fldChar w:fldCharType="end"/>
      </w:r>
      <w:r w:rsidRPr="00525C3E">
        <w:t>.</w:t>
      </w:r>
      <w:r w:rsidRPr="00525C3E">
        <w:rPr>
          <w:vertAlign w:val="superscript"/>
        </w:rPr>
        <w:footnoteReference w:id="7"/>
      </w:r>
    </w:p>
    <w:p w:rsidR="00F52476" w:rsidRPr="00525C3E" w:rsidRDefault="00F52476" w:rsidP="00F52476">
      <w:pPr>
        <w:ind w:firstLine="720"/>
      </w:pPr>
    </w:p>
    <w:p w:rsidR="00F52476" w:rsidRPr="00525C3E" w:rsidRDefault="00F52476" w:rsidP="00F52476">
      <w:pPr>
        <w:ind w:firstLine="720"/>
      </w:pPr>
      <w:r w:rsidRPr="00525C3E">
        <w:t>The first two categories of expenses incorporated by reference by the Bankruptcy Code,</w:t>
      </w:r>
      <w:r w:rsidRPr="00525C3E">
        <w:rPr>
          <w:i/>
        </w:rPr>
        <w:t xml:space="preserve"> i.e.</w:t>
      </w:r>
      <w:r w:rsidRPr="00525C3E">
        <w:t>, the Internal Revenue Service’s National and Local Stan</w:t>
      </w:r>
      <w:r w:rsidR="00DA777F" w:rsidRPr="00525C3E">
        <w:t xml:space="preserve">dards, are allowed to the above </w:t>
      </w:r>
      <w:r w:rsidRPr="00525C3E">
        <w:t>median debtor if they are applicable to him.</w:t>
      </w:r>
      <w:r w:rsidR="00330D94" w:rsidRPr="00525C3E">
        <w:t xml:space="preserve"> </w:t>
      </w:r>
      <w:r w:rsidRPr="00525C3E">
        <w:t>11 U.S.C. § 707(b)(2)(A)(ii)(I)</w:t>
      </w:r>
      <w:r w:rsidRPr="00525C3E">
        <w:fldChar w:fldCharType="begin"/>
      </w:r>
      <w:r w:rsidRPr="00525C3E">
        <w:instrText xml:space="preserve"> TA \s "11 U.S.C. § 707(b)(2)" </w:instrText>
      </w:r>
      <w:r w:rsidRPr="00525C3E">
        <w:fldChar w:fldCharType="end"/>
      </w:r>
      <w:r w:rsidRPr="00525C3E">
        <w:t xml:space="preserve"> (given operation in a Chapter 13 filing by 11 U.S.C. § 1325(b)</w:t>
      </w:r>
      <w:r w:rsidRPr="00525C3E">
        <w:fldChar w:fldCharType="begin"/>
      </w:r>
      <w:r w:rsidRPr="00525C3E">
        <w:instrText xml:space="preserve"> TA \s "11 U.S.C. § 1325(b)" </w:instrText>
      </w:r>
      <w:r w:rsidRPr="00525C3E">
        <w:fldChar w:fldCharType="end"/>
      </w:r>
      <w:r w:rsidRPr="00525C3E">
        <w:t>(3)).</w:t>
      </w:r>
      <w:r w:rsidR="00330D94" w:rsidRPr="00525C3E">
        <w:t xml:space="preserve"> </w:t>
      </w:r>
      <w:r w:rsidRPr="00525C3E">
        <w:t>Amounts not expended by a debtor are not applicable to him, and are not allowed to him.</w:t>
      </w:r>
      <w:r w:rsidR="00330D94" w:rsidRPr="00525C3E">
        <w:t xml:space="preserve"> </w:t>
      </w:r>
      <w:r w:rsidRPr="00525C3E">
        <w:t>This applies both if the debtor’s cost is less than the standard allowance and if he bears no loan or lease cost at all (as when, for example, his vehicle is owned “free and clear”).</w:t>
      </w:r>
    </w:p>
    <w:p w:rsidR="00F52476" w:rsidRPr="00525C3E" w:rsidRDefault="00F52476" w:rsidP="00F52476">
      <w:pPr>
        <w:ind w:firstLine="720"/>
      </w:pPr>
    </w:p>
    <w:p w:rsidR="00C74405" w:rsidRPr="00525C3E" w:rsidRDefault="00C74405" w:rsidP="0080688C">
      <w:pPr>
        <w:numPr>
          <w:ilvl w:val="0"/>
          <w:numId w:val="4"/>
        </w:numPr>
        <w:jc w:val="center"/>
        <w:rPr>
          <w:b/>
          <w:u w:val="single"/>
        </w:rPr>
      </w:pPr>
      <w:r w:rsidRPr="00525C3E">
        <w:rPr>
          <w:b/>
          <w:u w:val="single"/>
        </w:rPr>
        <w:t xml:space="preserve">The Internal Revenue Manual </w:t>
      </w:r>
      <w:r w:rsidR="007D73E8" w:rsidRPr="00525C3E">
        <w:rPr>
          <w:b/>
          <w:u w:val="single"/>
        </w:rPr>
        <w:t>Does A</w:t>
      </w:r>
      <w:r w:rsidRPr="00525C3E">
        <w:rPr>
          <w:b/>
          <w:u w:val="single"/>
        </w:rPr>
        <w:t>ppl</w:t>
      </w:r>
      <w:r w:rsidR="00FB0DD2" w:rsidRPr="00525C3E">
        <w:rPr>
          <w:b/>
          <w:u w:val="single"/>
        </w:rPr>
        <w:t>y</w:t>
      </w:r>
    </w:p>
    <w:p w:rsidR="0080688C" w:rsidRPr="00525C3E" w:rsidRDefault="0080688C" w:rsidP="0080688C">
      <w:pPr>
        <w:ind w:left="360"/>
        <w:jc w:val="center"/>
        <w:rPr>
          <w:b/>
        </w:rPr>
      </w:pPr>
    </w:p>
    <w:p w:rsidR="00A93A1C" w:rsidRPr="00525C3E" w:rsidRDefault="00A93A1C" w:rsidP="00A93A1C">
      <w:pPr>
        <w:ind w:firstLine="720"/>
      </w:pPr>
      <w:r w:rsidRPr="00525C3E">
        <w:rPr>
          <w:i/>
        </w:rPr>
        <w:t>In re Egebjer</w:t>
      </w:r>
      <w:r w:rsidR="00486940" w:rsidRPr="00525C3E">
        <w:rPr>
          <w:i/>
        </w:rPr>
        <w:t>g</w:t>
      </w:r>
      <w:r w:rsidRPr="00525C3E">
        <w:t xml:space="preserve">, No. 08-55301, 2009 U.S. App. LEXIS 11651 (9th Cir. May 29, 2009) (finding that Internal Revenue Manual is expressly incorporated into § 707 and holding that repayment of a 401(k) loan is not an Other Necessary Expense that can be deducted from </w:t>
      </w:r>
      <w:r w:rsidRPr="00525C3E">
        <w:lastRenderedPageBreak/>
        <w:t>monthly income as it is not a secured debt)</w:t>
      </w:r>
      <w:r w:rsidR="00A63400" w:rsidRPr="00525C3E">
        <w:t xml:space="preserve">, </w:t>
      </w:r>
      <w:r w:rsidR="00A63400" w:rsidRPr="00525C3E">
        <w:rPr>
          <w:i/>
        </w:rPr>
        <w:t>amended</w:t>
      </w:r>
      <w:r w:rsidR="00A63400" w:rsidRPr="00525C3E">
        <w:t xml:space="preserve"> No. 08-55301, 2009 U.S. App. LEXIS 17569 (Aug. 3, 2009) (amending opinion to remove dictum that Internal Revenue Manual is expressly incorporated into § 707)</w:t>
      </w:r>
      <w:r w:rsidR="000808BE" w:rsidRPr="00525C3E">
        <w:t xml:space="preserve">; </w:t>
      </w:r>
      <w:r w:rsidR="000808BE" w:rsidRPr="00525C3E">
        <w:rPr>
          <w:i/>
        </w:rPr>
        <w:t>see also</w:t>
      </w:r>
      <w:r w:rsidR="000808BE" w:rsidRPr="00525C3E">
        <w:t xml:space="preserve"> </w:t>
      </w:r>
      <w:r w:rsidR="000808BE" w:rsidRPr="00525C3E">
        <w:rPr>
          <w:i/>
          <w:szCs w:val="28"/>
        </w:rPr>
        <w:t xml:space="preserve">Ransom v. MBNA Am. Bank, N.A. </w:t>
      </w:r>
      <w:r w:rsidR="000808BE" w:rsidRPr="00525C3E">
        <w:rPr>
          <w:szCs w:val="28"/>
        </w:rPr>
        <w:t>(</w:t>
      </w:r>
      <w:r w:rsidR="000808BE" w:rsidRPr="00525C3E">
        <w:rPr>
          <w:i/>
          <w:szCs w:val="28"/>
        </w:rPr>
        <w:t>In re Ransom</w:t>
      </w:r>
      <w:r w:rsidR="000808BE" w:rsidRPr="00525C3E">
        <w:rPr>
          <w:szCs w:val="28"/>
        </w:rPr>
        <w:t xml:space="preserve">), </w:t>
      </w:r>
      <w:r w:rsidR="00835A38">
        <w:rPr>
          <w:szCs w:val="28"/>
        </w:rPr>
        <w:t>577 F.3d 1025</w:t>
      </w:r>
      <w:r w:rsidR="00835A38" w:rsidRPr="00525C3E">
        <w:rPr>
          <w:szCs w:val="28"/>
        </w:rPr>
        <w:t xml:space="preserve"> (9th 2009) </w:t>
      </w:r>
      <w:r w:rsidR="000808BE" w:rsidRPr="00525C3E">
        <w:rPr>
          <w:szCs w:val="28"/>
        </w:rPr>
        <w:t>(noting, in dicta, that debtors may deduct $200 for older vehicles, the authority for which is found in the IRM)</w:t>
      </w:r>
      <w:r w:rsidR="00835A38">
        <w:rPr>
          <w:szCs w:val="28"/>
        </w:rPr>
        <w:t xml:space="preserve">, </w:t>
      </w:r>
      <w:r w:rsidR="00835A38" w:rsidRPr="00525C3E">
        <w:rPr>
          <w:i/>
          <w:szCs w:val="28"/>
        </w:rPr>
        <w:t xml:space="preserve">cert </w:t>
      </w:r>
      <w:r w:rsidR="00835A38">
        <w:rPr>
          <w:i/>
          <w:szCs w:val="28"/>
        </w:rPr>
        <w:t>granted</w:t>
      </w:r>
      <w:r w:rsidR="00835A38">
        <w:rPr>
          <w:szCs w:val="28"/>
        </w:rPr>
        <w:t>, 09-907 (Apr. 19, 2010)</w:t>
      </w:r>
      <w:r w:rsidR="00C65F98" w:rsidRPr="00525C3E">
        <w:rPr>
          <w:szCs w:val="28"/>
        </w:rPr>
        <w:t xml:space="preserve">; </w:t>
      </w:r>
      <w:r w:rsidR="00C65F98" w:rsidRPr="00525C3E">
        <w:rPr>
          <w:i/>
          <w:szCs w:val="28"/>
        </w:rPr>
        <w:t>In re Martin</w:t>
      </w:r>
      <w:r w:rsidR="00C65F98" w:rsidRPr="00525C3E">
        <w:rPr>
          <w:szCs w:val="28"/>
        </w:rPr>
        <w:t>, No. 09-31916, 2010 Bankr. LEXIS 924 (Bankr. M.D. Ala. March 19, 2010) (finding that cannot expense actual mortgage expense that is seven times more than IRS allowance, but declines to find IRS allowance is cap, implying that IRS allowance is benchmark against which to measure reasonable necessity of expense)</w:t>
      </w:r>
      <w:r w:rsidR="000808BE" w:rsidRPr="00525C3E">
        <w:rPr>
          <w:szCs w:val="28"/>
        </w:rPr>
        <w:t>.</w:t>
      </w:r>
    </w:p>
    <w:p w:rsidR="00A93A1C" w:rsidRPr="00525C3E" w:rsidRDefault="00A93A1C" w:rsidP="00A93A1C"/>
    <w:p w:rsidR="00F52476" w:rsidRPr="00525C3E" w:rsidRDefault="00A93A1C" w:rsidP="00661090">
      <w:pPr>
        <w:rPr>
          <w:szCs w:val="28"/>
        </w:rPr>
      </w:pPr>
      <w:r w:rsidRPr="00525C3E">
        <w:tab/>
      </w:r>
      <w:r w:rsidR="00C739E4" w:rsidRPr="00525C3E">
        <w:rPr>
          <w:i/>
          <w:szCs w:val="28"/>
        </w:rPr>
        <w:t>In re Rabener</w:t>
      </w:r>
      <w:r w:rsidR="00C739E4" w:rsidRPr="00525C3E">
        <w:rPr>
          <w:szCs w:val="28"/>
        </w:rPr>
        <w:t xml:space="preserve">, No. 09-75719, 2010 Bankr. LEXIS 289 (Bankr. E.D.N.Y. Jan. 21, 2010) (stating that standardized IRS deductions are caps, such that if actual exceeds allowance, debtors are limited to deduction of allowance); </w:t>
      </w:r>
      <w:r w:rsidR="00F52476" w:rsidRPr="00525C3E">
        <w:rPr>
          <w:i/>
          <w:szCs w:val="28"/>
        </w:rPr>
        <w:t>Wieland v. Thomas</w:t>
      </w:r>
      <w:r w:rsidR="00F52476" w:rsidRPr="00525C3E">
        <w:rPr>
          <w:szCs w:val="28"/>
        </w:rPr>
        <w:t>, 382 B.R. 793 (D. Kan. 2008) (holding that limiting an automobile ownership expense to the lesser of the actual expense or the standardized amount, as intended by the IRS in its Financial Analysis Handbook, is consonant with statutory language and legislative purposes)</w:t>
      </w:r>
      <w:r w:rsidR="00F52476" w:rsidRPr="00525C3E">
        <w:rPr>
          <w:szCs w:val="28"/>
        </w:rPr>
        <w:fldChar w:fldCharType="begin"/>
      </w:r>
      <w:r w:rsidR="00F52476" w:rsidRPr="00525C3E">
        <w:rPr>
          <w:szCs w:val="28"/>
        </w:rPr>
        <w:instrText xml:space="preserve"> TA \l "</w:instrText>
      </w:r>
      <w:r w:rsidR="00F52476" w:rsidRPr="00525C3E">
        <w:rPr>
          <w:i/>
          <w:szCs w:val="28"/>
        </w:rPr>
        <w:instrText>Wieland v. Thomas</w:instrText>
      </w:r>
      <w:r w:rsidR="00F52476" w:rsidRPr="00525C3E">
        <w:rPr>
          <w:szCs w:val="28"/>
        </w:rPr>
        <w:instrText xml:space="preserve">, No. 07-2493-JWL, 2008 U.S. Dist. LEXIS 16927 (D. Kan. Mar. 4, 2008)" \s "Wieland, No. 07-2493-JWL, 2008 U.S. Dist. LEXIS 16927" \c 1 </w:instrText>
      </w:r>
      <w:r w:rsidR="00F52476" w:rsidRPr="00525C3E">
        <w:rPr>
          <w:szCs w:val="28"/>
        </w:rPr>
        <w:fldChar w:fldCharType="end"/>
      </w:r>
      <w:r w:rsidR="00C739E4" w:rsidRPr="00525C3E">
        <w:rPr>
          <w:szCs w:val="28"/>
        </w:rPr>
        <w:t>.</w:t>
      </w:r>
    </w:p>
    <w:p w:rsidR="00F52476" w:rsidRPr="00525C3E" w:rsidRDefault="00F52476" w:rsidP="00F52476">
      <w:pPr>
        <w:ind w:firstLine="720"/>
        <w:rPr>
          <w:i/>
          <w:szCs w:val="28"/>
        </w:rPr>
      </w:pPr>
    </w:p>
    <w:p w:rsidR="00F52476" w:rsidRPr="00525C3E" w:rsidRDefault="00F52476" w:rsidP="00F52476">
      <w:pPr>
        <w:ind w:firstLine="720"/>
        <w:rPr>
          <w:szCs w:val="28"/>
        </w:rPr>
      </w:pPr>
      <w:r w:rsidRPr="00525C3E">
        <w:rPr>
          <w:i/>
          <w:szCs w:val="28"/>
        </w:rPr>
        <w:t>In re Slusher</w:t>
      </w:r>
      <w:r w:rsidRPr="00525C3E">
        <w:rPr>
          <w:szCs w:val="28"/>
        </w:rPr>
        <w:t>, 359 B.R. 290, 309 (Bankr. D. Nev. 2007) (opining that a construction of 11 U.S.C. § 707(b)(2)</w:t>
      </w:r>
      <w:r w:rsidRPr="00525C3E">
        <w:rPr>
          <w:szCs w:val="28"/>
        </w:rPr>
        <w:fldChar w:fldCharType="begin"/>
      </w:r>
      <w:r w:rsidRPr="00525C3E">
        <w:instrText xml:space="preserve"> TA \s "11 U.S.C. § 707(b)(2)" </w:instrText>
      </w:r>
      <w:r w:rsidRPr="00525C3E">
        <w:rPr>
          <w:szCs w:val="28"/>
        </w:rPr>
        <w:fldChar w:fldCharType="end"/>
      </w:r>
      <w:r w:rsidRPr="00525C3E">
        <w:rPr>
          <w:szCs w:val="28"/>
        </w:rPr>
        <w:t xml:space="preserve">(A)(ii)(I) that allows the deduction of </w:t>
      </w:r>
      <w:r w:rsidRPr="00525C3E">
        <w:rPr>
          <w:b/>
          <w:szCs w:val="28"/>
        </w:rPr>
        <w:t>all</w:t>
      </w:r>
      <w:r w:rsidRPr="00525C3E">
        <w:rPr>
          <w:szCs w:val="28"/>
        </w:rPr>
        <w:t xml:space="preserve"> of the expense amounts listed in the Internal Revenue Service’s National and Local Standards would discord with the plain language of the statute, which permits the deduction of only the debtor’s </w:t>
      </w:r>
      <w:r w:rsidRPr="00525C3E">
        <w:rPr>
          <w:b/>
          <w:szCs w:val="28"/>
        </w:rPr>
        <w:t>applicable</w:t>
      </w:r>
      <w:r w:rsidRPr="00525C3E">
        <w:rPr>
          <w:szCs w:val="28"/>
        </w:rPr>
        <w:t xml:space="preserve"> monthly expense amounts.)</w:t>
      </w:r>
      <w:r w:rsidR="00B40F9F" w:rsidRPr="00525C3E">
        <w:rPr>
          <w:szCs w:val="28"/>
        </w:rPr>
        <w:t>.</w:t>
      </w:r>
    </w:p>
    <w:p w:rsidR="00F52476" w:rsidRPr="00525C3E" w:rsidRDefault="00F52476" w:rsidP="00F52476">
      <w:pPr>
        <w:ind w:firstLine="720"/>
        <w:rPr>
          <w:szCs w:val="28"/>
        </w:rPr>
      </w:pPr>
    </w:p>
    <w:p w:rsidR="00F52476" w:rsidRPr="00525C3E" w:rsidRDefault="00F52476" w:rsidP="00F52476">
      <w:pPr>
        <w:ind w:firstLine="720"/>
      </w:pPr>
      <w:r w:rsidRPr="00525C3E">
        <w:rPr>
          <w:i/>
        </w:rPr>
        <w:t>In re McPherson</w:t>
      </w:r>
      <w:r w:rsidRPr="00525C3E">
        <w:t>, 350 B.R. 38, 45 (Bankr. W.D. Va. 2006) (“An amount the payment of which is never contemplated cannot be an amount that is to be paid in the future.”)</w:t>
      </w:r>
      <w:r w:rsidR="00B40F9F" w:rsidRPr="00525C3E">
        <w:t>.</w:t>
      </w:r>
    </w:p>
    <w:p w:rsidR="00F52476" w:rsidRPr="00525C3E" w:rsidRDefault="00F52476" w:rsidP="00F52476">
      <w:pPr>
        <w:ind w:firstLine="720"/>
      </w:pPr>
    </w:p>
    <w:p w:rsidR="00F52476" w:rsidRPr="00525C3E" w:rsidRDefault="00F52476" w:rsidP="00F52476">
      <w:pPr>
        <w:ind w:firstLine="720"/>
        <w:rPr>
          <w:szCs w:val="28"/>
        </w:rPr>
      </w:pPr>
      <w:r w:rsidRPr="00525C3E">
        <w:rPr>
          <w:i/>
          <w:szCs w:val="28"/>
        </w:rPr>
        <w:t>In re McGillis</w:t>
      </w:r>
      <w:r w:rsidRPr="00525C3E">
        <w:rPr>
          <w:szCs w:val="28"/>
        </w:rPr>
        <w:t xml:space="preserve">, </w:t>
      </w:r>
      <w:bookmarkStart w:id="1" w:name="OLE_LINK4"/>
      <w:r w:rsidRPr="00525C3E">
        <w:rPr>
          <w:szCs w:val="28"/>
        </w:rPr>
        <w:t>370 B.R. 720</w:t>
      </w:r>
      <w:bookmarkEnd w:id="1"/>
      <w:r w:rsidRPr="00525C3E">
        <w:rPr>
          <w:szCs w:val="28"/>
        </w:rPr>
        <w:t>, 730 (Bankr. W.D. Mich. 2007):</w:t>
      </w:r>
    </w:p>
    <w:p w:rsidR="00F52476" w:rsidRPr="00525C3E" w:rsidRDefault="00F52476" w:rsidP="00F52476">
      <w:pPr>
        <w:ind w:left="1440" w:right="1440"/>
        <w:jc w:val="both"/>
      </w:pPr>
      <w:r w:rsidRPr="00525C3E">
        <w:rPr>
          <w:szCs w:val="28"/>
        </w:rPr>
        <w:t xml:space="preserve">Put differently, </w:t>
      </w:r>
      <w:r w:rsidRPr="00525C3E">
        <w:rPr>
          <w:i/>
          <w:szCs w:val="28"/>
        </w:rPr>
        <w:t>Section 1325(b)(3)</w:t>
      </w:r>
      <w:r w:rsidRPr="00525C3E">
        <w:rPr>
          <w:szCs w:val="28"/>
        </w:rPr>
        <w:t xml:space="preserve"> imposes the same requirement upon an above-median-income debtor as it does upon all other debtors: amounts claimed as expenses under </w:t>
      </w:r>
      <w:r w:rsidRPr="00525C3E">
        <w:rPr>
          <w:i/>
          <w:szCs w:val="28"/>
        </w:rPr>
        <w:t>Section 1325(b)(3)</w:t>
      </w:r>
      <w:r w:rsidRPr="00525C3E">
        <w:rPr>
          <w:szCs w:val="28"/>
        </w:rPr>
        <w:t xml:space="preserve"> must in fact be ultimately expended. However, </w:t>
      </w:r>
      <w:r w:rsidRPr="00525C3E">
        <w:rPr>
          <w:i/>
          <w:szCs w:val="28"/>
        </w:rPr>
        <w:t>Section 1325(b)(3)</w:t>
      </w:r>
      <w:r w:rsidRPr="00525C3E">
        <w:rPr>
          <w:szCs w:val="28"/>
        </w:rPr>
        <w:t xml:space="preserve"> imposes upon an above-median-income debtor the further requirement that all planned expenditures must also agree with the expense limitations of </w:t>
      </w:r>
      <w:r w:rsidRPr="00525C3E">
        <w:rPr>
          <w:i/>
          <w:szCs w:val="28"/>
        </w:rPr>
        <w:t>Sections 707(b)(2)(A) and (B)</w:t>
      </w:r>
      <w:r w:rsidRPr="00525C3E">
        <w:rPr>
          <w:szCs w:val="28"/>
        </w:rPr>
        <w:t xml:space="preserve">. If that debtor's planned expenses exceed what is permitted, then the debtor must conform his </w:t>
      </w:r>
      <w:r w:rsidRPr="00525C3E">
        <w:rPr>
          <w:i/>
          <w:szCs w:val="28"/>
        </w:rPr>
        <w:t>Section 1325(b)</w:t>
      </w:r>
      <w:r w:rsidRPr="00525C3E">
        <w:rPr>
          <w:szCs w:val="28"/>
        </w:rPr>
        <w:t xml:space="preserve"> deductions by reducing them to the amounts allowed by those subsections. </w:t>
      </w:r>
      <w:r w:rsidRPr="00525C3E">
        <w:rPr>
          <w:b/>
          <w:szCs w:val="28"/>
        </w:rPr>
        <w:t xml:space="preserve">On the other hand, the converse is not true, for if the debtor's planned expenses are less, then his </w:t>
      </w:r>
      <w:r w:rsidRPr="00525C3E">
        <w:rPr>
          <w:b/>
          <w:i/>
          <w:szCs w:val="28"/>
        </w:rPr>
        <w:t>Section 1325(b)</w:t>
      </w:r>
      <w:r w:rsidRPr="00525C3E">
        <w:rPr>
          <w:b/>
          <w:szCs w:val="28"/>
        </w:rPr>
        <w:t xml:space="preserve"> deductions must still be that lesser amount because that is all that he in fact plans to expend</w:t>
      </w:r>
      <w:r w:rsidRPr="00525C3E">
        <w:rPr>
          <w:b/>
        </w:rPr>
        <w:t>.</w:t>
      </w:r>
    </w:p>
    <w:p w:rsidR="00F52476" w:rsidRPr="00525C3E" w:rsidRDefault="00F52476" w:rsidP="00F52476">
      <w:pPr>
        <w:ind w:firstLine="720"/>
      </w:pPr>
    </w:p>
    <w:p w:rsidR="00F52476" w:rsidRPr="00525C3E" w:rsidRDefault="00F52476" w:rsidP="00F52476">
      <w:pPr>
        <w:ind w:firstLine="720"/>
        <w:rPr>
          <w:szCs w:val="28"/>
        </w:rPr>
      </w:pPr>
      <w:r w:rsidRPr="00525C3E">
        <w:rPr>
          <w:i/>
          <w:szCs w:val="28"/>
        </w:rPr>
        <w:t>In re Rains</w:t>
      </w:r>
      <w:r w:rsidRPr="00525C3E">
        <w:rPr>
          <w:szCs w:val="28"/>
        </w:rPr>
        <w:t>, No. 07-40472 EDJ, 2007 Bankr. LEXIS 3388, at **5-6 (Bankr. N.D. Cal. Oct. 2, 2007)</w:t>
      </w:r>
      <w:r w:rsidRPr="00525C3E">
        <w:rPr>
          <w:szCs w:val="28"/>
        </w:rPr>
        <w:fldChar w:fldCharType="begin"/>
      </w:r>
      <w:r w:rsidRPr="00525C3E">
        <w:instrText xml:space="preserve"> TA \l "</w:instrText>
      </w:r>
      <w:r w:rsidRPr="00525C3E">
        <w:rPr>
          <w:i/>
          <w:szCs w:val="28"/>
        </w:rPr>
        <w:instrText>In re Rains</w:instrText>
      </w:r>
      <w:r w:rsidRPr="00525C3E">
        <w:rPr>
          <w:szCs w:val="28"/>
        </w:rPr>
        <w:instrText>, No. 07-40472 EDJ, 2007 Bankr. LEXIS 3388 (Bankr. N.D. Cal. Oct. 2, 2007)</w:instrText>
      </w:r>
      <w:r w:rsidRPr="00525C3E">
        <w:instrText xml:space="preserve">" \s "Rains, No. 07-40472 EDJ, 2007 Bankr. LEXIS 3388" \c 1 </w:instrText>
      </w:r>
      <w:r w:rsidRPr="00525C3E">
        <w:rPr>
          <w:szCs w:val="28"/>
        </w:rPr>
        <w:fldChar w:fldCharType="end"/>
      </w:r>
      <w:r w:rsidRPr="00525C3E">
        <w:rPr>
          <w:szCs w:val="28"/>
        </w:rPr>
        <w:t xml:space="preserve"> (citing </w:t>
      </w:r>
      <w:r w:rsidRPr="00525C3E">
        <w:rPr>
          <w:i/>
          <w:szCs w:val="28"/>
        </w:rPr>
        <w:t>In re Slusher</w:t>
      </w:r>
      <w:r w:rsidRPr="00525C3E">
        <w:rPr>
          <w:szCs w:val="28"/>
        </w:rPr>
        <w:t>):</w:t>
      </w:r>
    </w:p>
    <w:p w:rsidR="00F52476" w:rsidRPr="00525C3E" w:rsidRDefault="00F52476" w:rsidP="00F52476">
      <w:pPr>
        <w:ind w:left="1440" w:right="1440" w:firstLine="720"/>
        <w:jc w:val="both"/>
      </w:pPr>
      <w:r w:rsidRPr="00525C3E">
        <w:t xml:space="preserve">[C]ourts, with which this court concurs, have reasoned that </w:t>
      </w:r>
      <w:bookmarkStart w:id="2" w:name="clsccl4"/>
      <w:bookmarkEnd w:id="2"/>
      <w:r w:rsidRPr="00525C3E">
        <w:rPr>
          <w:i/>
        </w:rPr>
        <w:t>§ 707(b)(2)(A)(ii)(I)</w:t>
      </w:r>
      <w:r w:rsidRPr="00525C3E">
        <w:t xml:space="preserve"> (via </w:t>
      </w:r>
      <w:r w:rsidRPr="00525C3E">
        <w:rPr>
          <w:i/>
        </w:rPr>
        <w:t>§ 1325(b)(3)</w:t>
      </w:r>
      <w:r w:rsidRPr="00525C3E">
        <w:t xml:space="preserve">) refers to the ‘applicable’ </w:t>
      </w:r>
      <w:r w:rsidRPr="00525C3E">
        <w:lastRenderedPageBreak/>
        <w:t>amounts to be deducted as expenses, and that expenses that are not the debtor's actual expenses that are reasonable and necessary (whether current or anticipated) are not ‘applicable’ and thus are not deductible for purposes of the calculation of the debtor's ‘projected disposable income.’”)</w:t>
      </w:r>
    </w:p>
    <w:p w:rsidR="00F52476" w:rsidRPr="00525C3E" w:rsidRDefault="00F52476" w:rsidP="00F52476">
      <w:pPr>
        <w:ind w:left="1440" w:right="1440" w:firstLine="720"/>
        <w:jc w:val="both"/>
      </w:pPr>
      <w:r w:rsidRPr="00525C3E">
        <w:t>….</w:t>
      </w:r>
    </w:p>
    <w:p w:rsidR="00F52476" w:rsidRPr="00525C3E" w:rsidRDefault="00F52476" w:rsidP="00F52476">
      <w:pPr>
        <w:ind w:left="1440" w:right="1440" w:firstLine="720"/>
        <w:jc w:val="both"/>
      </w:pPr>
    </w:p>
    <w:p w:rsidR="00F52476" w:rsidRPr="00525C3E" w:rsidRDefault="00F52476" w:rsidP="00F52476">
      <w:pPr>
        <w:ind w:left="1440" w:right="1440"/>
        <w:jc w:val="both"/>
        <w:rPr>
          <w:szCs w:val="28"/>
        </w:rPr>
      </w:pPr>
      <w:r w:rsidRPr="00525C3E">
        <w:t>…[D]ebtors are not entitled to a fixed allowance of any expense that is in excess of their actual expenses that are reasonably necessary for their maintenance and support, even if such a fixed allowance might be included in the "means test" under § 707(b).</w:t>
      </w:r>
    </w:p>
    <w:p w:rsidR="00F52476" w:rsidRPr="00525C3E" w:rsidRDefault="00F52476" w:rsidP="00F52476">
      <w:pPr>
        <w:ind w:firstLine="720"/>
      </w:pPr>
    </w:p>
    <w:p w:rsidR="00F52476" w:rsidRPr="00525C3E" w:rsidRDefault="00F52476" w:rsidP="00F52476">
      <w:pPr>
        <w:ind w:firstLine="720"/>
        <w:rPr>
          <w:szCs w:val="28"/>
        </w:rPr>
      </w:pPr>
      <w:r w:rsidRPr="00525C3E">
        <w:rPr>
          <w:i/>
          <w:szCs w:val="28"/>
        </w:rPr>
        <w:t>In re Rezentes</w:t>
      </w:r>
      <w:r w:rsidRPr="00525C3E">
        <w:rPr>
          <w:szCs w:val="28"/>
        </w:rPr>
        <w:t xml:space="preserve">, 368 B.R. 55, 62 (Bankr. D. Haw. 2007) (opining that debtors may expense their actual cost of housing or the IRS standard amount for </w:t>
      </w:r>
      <w:r w:rsidR="00B40F9F" w:rsidRPr="00525C3E">
        <w:rPr>
          <w:szCs w:val="28"/>
        </w:rPr>
        <w:t>their locale, whichever is less</w:t>
      </w:r>
      <w:r w:rsidRPr="00525C3E">
        <w:rPr>
          <w:szCs w:val="28"/>
        </w:rPr>
        <w:t>)</w:t>
      </w:r>
      <w:r w:rsidR="00B40F9F" w:rsidRPr="00525C3E">
        <w:rPr>
          <w:szCs w:val="28"/>
        </w:rPr>
        <w:t>.</w:t>
      </w:r>
    </w:p>
    <w:p w:rsidR="0019587D" w:rsidRPr="00525C3E" w:rsidRDefault="0019587D" w:rsidP="00F52476">
      <w:pPr>
        <w:ind w:firstLine="720"/>
        <w:rPr>
          <w:szCs w:val="28"/>
        </w:rPr>
      </w:pPr>
    </w:p>
    <w:p w:rsidR="0019587D" w:rsidRPr="00525C3E" w:rsidRDefault="0019587D" w:rsidP="00F52476">
      <w:pPr>
        <w:ind w:firstLine="720"/>
        <w:rPr>
          <w:szCs w:val="28"/>
        </w:rPr>
      </w:pPr>
      <w:r w:rsidRPr="00525C3E">
        <w:rPr>
          <w:i/>
          <w:szCs w:val="28"/>
        </w:rPr>
        <w:t>In re Reyes</w:t>
      </w:r>
      <w:r w:rsidR="00FC0AF2" w:rsidRPr="00525C3E">
        <w:rPr>
          <w:szCs w:val="28"/>
        </w:rPr>
        <w:t xml:space="preserve">, No. </w:t>
      </w:r>
      <w:r w:rsidRPr="00525C3E">
        <w:rPr>
          <w:szCs w:val="28"/>
        </w:rPr>
        <w:t>08</w:t>
      </w:r>
      <w:r w:rsidR="00FC0AF2" w:rsidRPr="00525C3E">
        <w:rPr>
          <w:szCs w:val="28"/>
        </w:rPr>
        <w:t>-</w:t>
      </w:r>
      <w:r w:rsidRPr="00525C3E">
        <w:rPr>
          <w:szCs w:val="28"/>
        </w:rPr>
        <w:t>28740, 2009 Bankr. LEXIS 307 (</w:t>
      </w:r>
      <w:r w:rsidR="0029507A" w:rsidRPr="00525C3E">
        <w:rPr>
          <w:szCs w:val="28"/>
        </w:rPr>
        <w:t xml:space="preserve">Bankr. </w:t>
      </w:r>
      <w:r w:rsidR="00616211" w:rsidRPr="00525C3E">
        <w:rPr>
          <w:szCs w:val="28"/>
        </w:rPr>
        <w:t xml:space="preserve">C.D. Cal. </w:t>
      </w:r>
      <w:r w:rsidRPr="00525C3E">
        <w:rPr>
          <w:szCs w:val="28"/>
        </w:rPr>
        <w:t xml:space="preserve">Feb. </w:t>
      </w:r>
      <w:r w:rsidR="0029507A" w:rsidRPr="00525C3E">
        <w:rPr>
          <w:szCs w:val="28"/>
        </w:rPr>
        <w:t>2</w:t>
      </w:r>
      <w:r w:rsidR="00616211" w:rsidRPr="00525C3E">
        <w:rPr>
          <w:szCs w:val="28"/>
        </w:rPr>
        <w:t>6</w:t>
      </w:r>
      <w:r w:rsidR="0029507A" w:rsidRPr="00525C3E">
        <w:rPr>
          <w:szCs w:val="28"/>
        </w:rPr>
        <w:t>, 2009)</w:t>
      </w:r>
      <w:r w:rsidR="00BF554F" w:rsidRPr="00525C3E">
        <w:rPr>
          <w:szCs w:val="28"/>
        </w:rPr>
        <w:t>.</w:t>
      </w:r>
      <w:r w:rsidR="00616211" w:rsidRPr="00525C3E">
        <w:rPr>
          <w:szCs w:val="28"/>
        </w:rPr>
        <w:t xml:space="preserve"> </w:t>
      </w:r>
      <w:r w:rsidR="00280232" w:rsidRPr="00525C3E">
        <w:rPr>
          <w:szCs w:val="28"/>
        </w:rPr>
        <w:t>Despite the debtors’ argument that the drafters of Form 22</w:t>
      </w:r>
      <w:r w:rsidR="00FC0AF2" w:rsidRPr="00525C3E">
        <w:rPr>
          <w:szCs w:val="28"/>
        </w:rPr>
        <w:t>C</w:t>
      </w:r>
      <w:r w:rsidR="00280232" w:rsidRPr="00525C3E">
        <w:rPr>
          <w:szCs w:val="28"/>
        </w:rPr>
        <w:t xml:space="preserve"> intended that debtors claim the full ownership allowance, Official Forms do not trump statutory requirements. The court looked to the Interna</w:t>
      </w:r>
      <w:r w:rsidR="00FC0AF2" w:rsidRPr="00525C3E">
        <w:rPr>
          <w:szCs w:val="28"/>
        </w:rPr>
        <w:t xml:space="preserve">l Revenue Manual for guidance. </w:t>
      </w:r>
      <w:r w:rsidR="00280232" w:rsidRPr="00525C3E">
        <w:rPr>
          <w:szCs w:val="28"/>
        </w:rPr>
        <w:t xml:space="preserve">Citing </w:t>
      </w:r>
      <w:r w:rsidR="00280232" w:rsidRPr="00525C3E">
        <w:rPr>
          <w:i/>
          <w:szCs w:val="28"/>
        </w:rPr>
        <w:t xml:space="preserve">In re Rezentes </w:t>
      </w:r>
      <w:r w:rsidR="00280232" w:rsidRPr="00525C3E">
        <w:rPr>
          <w:szCs w:val="28"/>
        </w:rPr>
        <w:t>and</w:t>
      </w:r>
      <w:r w:rsidR="00280232" w:rsidRPr="00525C3E">
        <w:rPr>
          <w:i/>
          <w:szCs w:val="28"/>
        </w:rPr>
        <w:t xml:space="preserve"> In re Slusher, </w:t>
      </w:r>
      <w:r w:rsidR="00280232" w:rsidRPr="00525C3E">
        <w:rPr>
          <w:szCs w:val="28"/>
        </w:rPr>
        <w:t>the court</w:t>
      </w:r>
      <w:r w:rsidR="00616211" w:rsidRPr="00525C3E">
        <w:rPr>
          <w:szCs w:val="28"/>
        </w:rPr>
        <w:t xml:space="preserve"> </w:t>
      </w:r>
      <w:r w:rsidR="00BF554F" w:rsidRPr="00525C3E">
        <w:rPr>
          <w:szCs w:val="28"/>
        </w:rPr>
        <w:t>held</w:t>
      </w:r>
      <w:r w:rsidR="00616211" w:rsidRPr="00525C3E">
        <w:rPr>
          <w:szCs w:val="28"/>
        </w:rPr>
        <w:t xml:space="preserve"> debtors </w:t>
      </w:r>
      <w:r w:rsidR="00280232" w:rsidRPr="00525C3E">
        <w:rPr>
          <w:szCs w:val="28"/>
        </w:rPr>
        <w:t>may</w:t>
      </w:r>
      <w:r w:rsidR="00616211" w:rsidRPr="00525C3E">
        <w:rPr>
          <w:szCs w:val="28"/>
        </w:rPr>
        <w:t xml:space="preserve"> deduct the vehicle ownership allowance under the Local Standard or their actual vehicle owner</w:t>
      </w:r>
      <w:r w:rsidR="00BF554F" w:rsidRPr="00525C3E">
        <w:rPr>
          <w:szCs w:val="28"/>
        </w:rPr>
        <w:t xml:space="preserve">ship expense, whichever </w:t>
      </w:r>
      <w:r w:rsidR="00280232" w:rsidRPr="00525C3E">
        <w:rPr>
          <w:szCs w:val="28"/>
        </w:rPr>
        <w:t>i</w:t>
      </w:r>
      <w:r w:rsidR="00BF554F" w:rsidRPr="00525C3E">
        <w:rPr>
          <w:szCs w:val="28"/>
        </w:rPr>
        <w:t>s less</w:t>
      </w:r>
      <w:r w:rsidR="00616211" w:rsidRPr="00525C3E">
        <w:rPr>
          <w:szCs w:val="28"/>
        </w:rPr>
        <w:t>.</w:t>
      </w:r>
      <w:r w:rsidR="00280232" w:rsidRPr="00525C3E">
        <w:rPr>
          <w:szCs w:val="28"/>
        </w:rPr>
        <w:t xml:space="preserve">       </w:t>
      </w:r>
      <w:r w:rsidR="00BF554F" w:rsidRPr="00525C3E">
        <w:rPr>
          <w:szCs w:val="28"/>
        </w:rPr>
        <w:t xml:space="preserve">    </w:t>
      </w:r>
      <w:r w:rsidR="0029507A" w:rsidRPr="00525C3E">
        <w:rPr>
          <w:szCs w:val="28"/>
        </w:rPr>
        <w:t xml:space="preserve"> </w:t>
      </w:r>
    </w:p>
    <w:p w:rsidR="00F52476" w:rsidRPr="00525C3E" w:rsidRDefault="00F52476" w:rsidP="00F52476">
      <w:pPr>
        <w:ind w:firstLine="720"/>
        <w:rPr>
          <w:szCs w:val="28"/>
        </w:rPr>
      </w:pPr>
    </w:p>
    <w:p w:rsidR="00F52476" w:rsidRPr="00525C3E" w:rsidRDefault="00F52476" w:rsidP="00F52476">
      <w:pPr>
        <w:ind w:firstLine="720"/>
        <w:rPr>
          <w:szCs w:val="28"/>
        </w:rPr>
      </w:pPr>
      <w:r w:rsidRPr="00525C3E">
        <w:rPr>
          <w:i/>
          <w:szCs w:val="28"/>
        </w:rPr>
        <w:t>In re Boehlke</w:t>
      </w:r>
      <w:r w:rsidRPr="00525C3E">
        <w:rPr>
          <w:szCs w:val="28"/>
        </w:rPr>
        <w:t>, No. 07-26788-svk, 2008 Bankr. LEXIS 235, at **5, 8 (Bankr. E.D. Wis. Jan. 30, 2008) (finding that the presumption of abuse arose, unrebutted, because debtors’ monthly transportation ownership expense was limited to the Local Standards allowance despite their lease payment’s exceeding that amount).</w:t>
      </w:r>
    </w:p>
    <w:p w:rsidR="00533AE8" w:rsidRPr="00525C3E" w:rsidRDefault="00533AE8" w:rsidP="00F52476">
      <w:pPr>
        <w:ind w:firstLine="720"/>
        <w:rPr>
          <w:szCs w:val="28"/>
        </w:rPr>
      </w:pPr>
    </w:p>
    <w:p w:rsidR="00533AE8" w:rsidRPr="00525C3E" w:rsidRDefault="00533AE8" w:rsidP="00F52476">
      <w:pPr>
        <w:ind w:firstLine="720"/>
        <w:rPr>
          <w:szCs w:val="28"/>
        </w:rPr>
      </w:pPr>
      <w:r w:rsidRPr="00525C3E">
        <w:rPr>
          <w:i/>
          <w:szCs w:val="28"/>
        </w:rPr>
        <w:t>In re Strickland</w:t>
      </w:r>
      <w:r w:rsidRPr="00525C3E">
        <w:rPr>
          <w:szCs w:val="28"/>
        </w:rPr>
        <w:t>, No. 07-10913-DHW, 2008 Bankr. LEXIS 701 (Bankr. M.D. Ala. Jan. 24, 2008) (finding that deduction of car ownership expenses must be consistent with debtors’ expected costs for ownership over the term of the plan</w:t>
      </w:r>
      <w:r w:rsidR="00C122FB" w:rsidRPr="00525C3E">
        <w:rPr>
          <w:szCs w:val="28"/>
        </w:rPr>
        <w:t xml:space="preserve"> and denying </w:t>
      </w:r>
      <w:r w:rsidR="00C122FB" w:rsidRPr="00525C3E">
        <w:rPr>
          <w:iCs/>
        </w:rPr>
        <w:t>confirmation of the debtor’s Chapter 13 plan where debtors deducted the full amount of the Local Standards for ownership of two vehicles when they were actually spending less than the Local Standards)</w:t>
      </w:r>
      <w:r w:rsidRPr="00525C3E">
        <w:rPr>
          <w:szCs w:val="28"/>
        </w:rPr>
        <w:t>.</w:t>
      </w:r>
    </w:p>
    <w:p w:rsidR="0075601F" w:rsidRPr="00525C3E" w:rsidRDefault="0075601F" w:rsidP="00F52476">
      <w:pPr>
        <w:ind w:firstLine="720"/>
        <w:rPr>
          <w:szCs w:val="28"/>
        </w:rPr>
      </w:pPr>
    </w:p>
    <w:p w:rsidR="0075601F" w:rsidRPr="00525C3E" w:rsidRDefault="0075601F" w:rsidP="00F52476">
      <w:pPr>
        <w:ind w:firstLine="720"/>
        <w:rPr>
          <w:szCs w:val="28"/>
        </w:rPr>
      </w:pPr>
      <w:r w:rsidRPr="00525C3E">
        <w:rPr>
          <w:i/>
          <w:szCs w:val="28"/>
        </w:rPr>
        <w:t>In re Kafi</w:t>
      </w:r>
      <w:r w:rsidRPr="00525C3E">
        <w:rPr>
          <w:szCs w:val="28"/>
        </w:rPr>
        <w:t>, No. 08-41023, 2009 Bankr. LEXIS 654 (Bankr. E.D. Tex. Mar. 12, 2009) (using Internal Revenue Manual for guidance in statutory interpretation).</w:t>
      </w:r>
    </w:p>
    <w:p w:rsidR="00F52476" w:rsidRPr="00525C3E" w:rsidRDefault="00F52476" w:rsidP="00F52476">
      <w:pPr>
        <w:ind w:firstLine="720"/>
        <w:rPr>
          <w:szCs w:val="28"/>
        </w:rPr>
      </w:pPr>
    </w:p>
    <w:p w:rsidR="00C74405" w:rsidRPr="00525C3E" w:rsidRDefault="0059198D" w:rsidP="007D73E8">
      <w:pPr>
        <w:ind w:firstLine="720"/>
        <w:jc w:val="center"/>
        <w:rPr>
          <w:szCs w:val="28"/>
        </w:rPr>
      </w:pPr>
      <w:r w:rsidRPr="00525C3E">
        <w:rPr>
          <w:b/>
          <w:szCs w:val="28"/>
        </w:rPr>
        <w:t>b</w:t>
      </w:r>
      <w:r w:rsidR="00C74405" w:rsidRPr="00525C3E">
        <w:rPr>
          <w:b/>
          <w:szCs w:val="28"/>
        </w:rPr>
        <w:t>.</w:t>
      </w:r>
      <w:r w:rsidR="00330D94" w:rsidRPr="00525C3E">
        <w:rPr>
          <w:b/>
          <w:szCs w:val="28"/>
        </w:rPr>
        <w:t xml:space="preserve"> </w:t>
      </w:r>
      <w:r w:rsidR="00C74405" w:rsidRPr="00525C3E">
        <w:rPr>
          <w:b/>
          <w:szCs w:val="28"/>
          <w:u w:val="single"/>
        </w:rPr>
        <w:t>The I</w:t>
      </w:r>
      <w:r w:rsidR="0080688C" w:rsidRPr="00525C3E">
        <w:rPr>
          <w:b/>
          <w:szCs w:val="28"/>
          <w:u w:val="single"/>
        </w:rPr>
        <w:t xml:space="preserve">nternal Revenue Manual </w:t>
      </w:r>
      <w:r w:rsidR="00632E23" w:rsidRPr="00525C3E">
        <w:rPr>
          <w:b/>
          <w:szCs w:val="28"/>
          <w:u w:val="single"/>
        </w:rPr>
        <w:t>Does N</w:t>
      </w:r>
      <w:r w:rsidR="00C74405" w:rsidRPr="00525C3E">
        <w:rPr>
          <w:b/>
          <w:szCs w:val="28"/>
          <w:u w:val="single"/>
        </w:rPr>
        <w:t>ot</w:t>
      </w:r>
      <w:r w:rsidR="00632E23" w:rsidRPr="00525C3E">
        <w:rPr>
          <w:b/>
          <w:szCs w:val="28"/>
          <w:u w:val="single"/>
        </w:rPr>
        <w:t xml:space="preserve"> A</w:t>
      </w:r>
      <w:r w:rsidR="00C74405" w:rsidRPr="00525C3E">
        <w:rPr>
          <w:b/>
          <w:szCs w:val="28"/>
          <w:u w:val="single"/>
        </w:rPr>
        <w:t>pply</w:t>
      </w:r>
    </w:p>
    <w:p w:rsidR="00C74405" w:rsidRPr="00525C3E" w:rsidRDefault="00C74405" w:rsidP="00C74405">
      <w:pPr>
        <w:rPr>
          <w:szCs w:val="28"/>
        </w:rPr>
      </w:pPr>
    </w:p>
    <w:p w:rsidR="00661090" w:rsidRPr="00525C3E" w:rsidRDefault="00661090" w:rsidP="0059198D">
      <w:pPr>
        <w:ind w:firstLine="720"/>
        <w:rPr>
          <w:i/>
          <w:szCs w:val="28"/>
        </w:rPr>
      </w:pPr>
      <w:r w:rsidRPr="00525C3E">
        <w:rPr>
          <w:i/>
        </w:rPr>
        <w:t>Tate v. Bolen</w:t>
      </w:r>
      <w:r w:rsidRPr="00525C3E">
        <w:t xml:space="preserve">, No. 08-60953, 2009 App. LEXIS 12660 (5th Cir. June 10, 2009) (rejecting use of Internal Revenue Manual by bankruptcy courts while following </w:t>
      </w:r>
      <w:r w:rsidRPr="00525C3E">
        <w:rPr>
          <w:i/>
        </w:rPr>
        <w:t xml:space="preserve">Ross-Tousey </w:t>
      </w:r>
      <w:r w:rsidRPr="00525C3E">
        <w:t>and allowing deduction of car ownership expense for unencumbered vehicle in Chapter 7).</w:t>
      </w:r>
    </w:p>
    <w:p w:rsidR="00661090" w:rsidRPr="00525C3E" w:rsidRDefault="00661090" w:rsidP="0059198D">
      <w:pPr>
        <w:ind w:firstLine="720"/>
        <w:rPr>
          <w:i/>
          <w:szCs w:val="28"/>
        </w:rPr>
      </w:pPr>
    </w:p>
    <w:p w:rsidR="00C74405" w:rsidRPr="00525C3E" w:rsidRDefault="0059198D" w:rsidP="0059198D">
      <w:pPr>
        <w:ind w:firstLine="720"/>
        <w:rPr>
          <w:szCs w:val="28"/>
        </w:rPr>
      </w:pPr>
      <w:r w:rsidRPr="00525C3E">
        <w:rPr>
          <w:i/>
          <w:szCs w:val="28"/>
        </w:rPr>
        <w:t>Musselman v. eCAST Settlement Corp.</w:t>
      </w:r>
      <w:r w:rsidRPr="00525C3E">
        <w:rPr>
          <w:szCs w:val="28"/>
        </w:rPr>
        <w:t xml:space="preserve"> (</w:t>
      </w:r>
      <w:r w:rsidRPr="00525C3E">
        <w:rPr>
          <w:i/>
          <w:szCs w:val="28"/>
        </w:rPr>
        <w:t>In re Musselman</w:t>
      </w:r>
      <w:r w:rsidRPr="00525C3E">
        <w:rPr>
          <w:szCs w:val="28"/>
        </w:rPr>
        <w:t>), 394 B.R. 801 (E.D.N.C. 2008).</w:t>
      </w:r>
      <w:r w:rsidR="00330D94" w:rsidRPr="00525C3E">
        <w:rPr>
          <w:szCs w:val="28"/>
        </w:rPr>
        <w:t xml:space="preserve"> </w:t>
      </w:r>
      <w:r w:rsidR="00372801" w:rsidRPr="00525C3E">
        <w:rPr>
          <w:szCs w:val="28"/>
        </w:rPr>
        <w:t xml:space="preserve">Based on the language of the statute and a thorough review of relevant case law, the court found that a debtor who </w:t>
      </w:r>
      <w:r w:rsidR="003E1BDB" w:rsidRPr="00525C3E">
        <w:rPr>
          <w:szCs w:val="28"/>
        </w:rPr>
        <w:t xml:space="preserve">has </w:t>
      </w:r>
      <w:r w:rsidR="00372801" w:rsidRPr="00525C3E">
        <w:rPr>
          <w:szCs w:val="28"/>
        </w:rPr>
        <w:t>housing or transportation ownership expenses may deduct the full amount provided by the IRS in its Standards.</w:t>
      </w:r>
    </w:p>
    <w:p w:rsidR="00AF515E" w:rsidRPr="00525C3E" w:rsidRDefault="00AF515E" w:rsidP="0059198D">
      <w:pPr>
        <w:ind w:firstLine="720"/>
        <w:rPr>
          <w:szCs w:val="28"/>
        </w:rPr>
      </w:pPr>
    </w:p>
    <w:p w:rsidR="00AF515E" w:rsidRPr="00525C3E" w:rsidRDefault="00A70354" w:rsidP="0059198D">
      <w:pPr>
        <w:ind w:firstLine="720"/>
        <w:rPr>
          <w:szCs w:val="28"/>
        </w:rPr>
      </w:pPr>
      <w:r w:rsidRPr="00525C3E">
        <w:rPr>
          <w:i/>
          <w:szCs w:val="28"/>
        </w:rPr>
        <w:t>See also</w:t>
      </w:r>
      <w:r w:rsidR="00905EE1" w:rsidRPr="00525C3E">
        <w:rPr>
          <w:szCs w:val="28"/>
        </w:rPr>
        <w:t xml:space="preserve"> </w:t>
      </w:r>
      <w:r w:rsidR="00905EE1" w:rsidRPr="00525C3E">
        <w:rPr>
          <w:i/>
          <w:szCs w:val="28"/>
        </w:rPr>
        <w:t>In re White</w:t>
      </w:r>
      <w:r w:rsidR="00905EE1" w:rsidRPr="00525C3E">
        <w:rPr>
          <w:szCs w:val="28"/>
        </w:rPr>
        <w:t>, 382 B.R. 751 (Bankr. C.D. Ill. 2008);</w:t>
      </w:r>
      <w:r w:rsidR="00CB5B08" w:rsidRPr="00525C3E">
        <w:rPr>
          <w:szCs w:val="28"/>
        </w:rPr>
        <w:t xml:space="preserve"> </w:t>
      </w:r>
      <w:r w:rsidR="00CB5B08" w:rsidRPr="00525C3E">
        <w:rPr>
          <w:i/>
          <w:szCs w:val="28"/>
        </w:rPr>
        <w:t>In re Anderson</w:t>
      </w:r>
      <w:r w:rsidR="00CB5B08" w:rsidRPr="00525C3E">
        <w:rPr>
          <w:szCs w:val="28"/>
        </w:rPr>
        <w:t>, 383 B.R. 699 (Bankr. S.D. Ohio 2008);</w:t>
      </w:r>
      <w:r w:rsidR="002477B0" w:rsidRPr="00525C3E">
        <w:rPr>
          <w:szCs w:val="28"/>
        </w:rPr>
        <w:t xml:space="preserve"> </w:t>
      </w:r>
      <w:r w:rsidR="002477B0" w:rsidRPr="00525C3E">
        <w:rPr>
          <w:i/>
          <w:szCs w:val="28"/>
        </w:rPr>
        <w:t>In re Mati</w:t>
      </w:r>
      <w:r w:rsidR="002477B0" w:rsidRPr="00525C3E">
        <w:rPr>
          <w:szCs w:val="28"/>
        </w:rPr>
        <w:t>, 390 B.R. 11 (Bankr. D. Mass. 2008);</w:t>
      </w:r>
      <w:r w:rsidR="00CA4531" w:rsidRPr="00525C3E">
        <w:rPr>
          <w:szCs w:val="28"/>
        </w:rPr>
        <w:t xml:space="preserve"> </w:t>
      </w:r>
      <w:r w:rsidR="00CA4531" w:rsidRPr="00525C3E">
        <w:rPr>
          <w:i/>
          <w:szCs w:val="28"/>
        </w:rPr>
        <w:t>In re May</w:t>
      </w:r>
      <w:r w:rsidR="00CA4531" w:rsidRPr="00525C3E">
        <w:rPr>
          <w:szCs w:val="28"/>
        </w:rPr>
        <w:t>, 390 B.R. 338 (Bankr. S.D. Ohio 2008);</w:t>
      </w:r>
      <w:r w:rsidRPr="00525C3E">
        <w:rPr>
          <w:i/>
          <w:szCs w:val="28"/>
        </w:rPr>
        <w:t xml:space="preserve"> In re Haley</w:t>
      </w:r>
      <w:r w:rsidRPr="00525C3E">
        <w:rPr>
          <w:szCs w:val="28"/>
        </w:rPr>
        <w:t xml:space="preserve">, 354 B.R. 340 (Bankr. D.N.H. 2006); </w:t>
      </w:r>
      <w:r w:rsidRPr="00525C3E">
        <w:rPr>
          <w:i/>
          <w:szCs w:val="28"/>
        </w:rPr>
        <w:t>In re Chamberlain</w:t>
      </w:r>
      <w:r w:rsidRPr="00525C3E">
        <w:rPr>
          <w:szCs w:val="28"/>
        </w:rPr>
        <w:t xml:space="preserve">, 369 B.R. 519 (Bankr. D. Ariz. 2007); </w:t>
      </w:r>
      <w:r w:rsidRPr="00525C3E">
        <w:rPr>
          <w:i/>
          <w:szCs w:val="28"/>
        </w:rPr>
        <w:t>In re Long</w:t>
      </w:r>
      <w:r w:rsidRPr="00525C3E">
        <w:rPr>
          <w:szCs w:val="28"/>
        </w:rPr>
        <w:t>, 372 B.R. 467 (Bankr. W.D. Wis. 2007);</w:t>
      </w:r>
      <w:r w:rsidR="005B6B80" w:rsidRPr="00525C3E">
        <w:rPr>
          <w:szCs w:val="28"/>
        </w:rPr>
        <w:t xml:space="preserve"> </w:t>
      </w:r>
      <w:r w:rsidR="005B6B80" w:rsidRPr="00525C3E">
        <w:rPr>
          <w:i/>
          <w:szCs w:val="28"/>
        </w:rPr>
        <w:t>In re Hice</w:t>
      </w:r>
      <w:r w:rsidR="005B6B80" w:rsidRPr="00525C3E">
        <w:rPr>
          <w:szCs w:val="28"/>
        </w:rPr>
        <w:t>, 376 B.R. 771 (Bankr. D.S.C. 2007);</w:t>
      </w:r>
      <w:r w:rsidRPr="00525C3E">
        <w:rPr>
          <w:i/>
          <w:szCs w:val="28"/>
        </w:rPr>
        <w:t xml:space="preserve"> </w:t>
      </w:r>
      <w:r w:rsidR="00AF515E" w:rsidRPr="00525C3E">
        <w:rPr>
          <w:i/>
          <w:szCs w:val="28"/>
        </w:rPr>
        <w:t>In re Fowler</w:t>
      </w:r>
      <w:r w:rsidR="00AF515E" w:rsidRPr="00525C3E">
        <w:rPr>
          <w:szCs w:val="28"/>
        </w:rPr>
        <w:t>, 349 B.R. 414 (Bankr. D. Del. 2006) (rejecting use of Internal Revenue Manual on basis that Code does not explicitly provide for its use).</w:t>
      </w:r>
    </w:p>
    <w:p w:rsidR="009A6C9C" w:rsidRPr="00525C3E" w:rsidRDefault="009A6C9C" w:rsidP="00D975CD">
      <w:pPr>
        <w:pStyle w:val="Heading3"/>
        <w:numPr>
          <w:ilvl w:val="0"/>
          <w:numId w:val="13"/>
        </w:numPr>
        <w:rPr>
          <w:rFonts w:ascii="Times New Roman" w:hAnsi="Times New Roman"/>
          <w:sz w:val="24"/>
          <w:szCs w:val="28"/>
        </w:rPr>
      </w:pPr>
      <w:r w:rsidRPr="00525C3E">
        <w:rPr>
          <w:rFonts w:ascii="Times New Roman" w:hAnsi="Times New Roman"/>
          <w:sz w:val="24"/>
          <w:szCs w:val="28"/>
        </w:rPr>
        <w:t>Other Necessary Expenses</w:t>
      </w:r>
    </w:p>
    <w:p w:rsidR="009A6C9C" w:rsidRPr="00525C3E" w:rsidRDefault="009A6C9C" w:rsidP="009A6C9C">
      <w:pPr>
        <w:rPr>
          <w:szCs w:val="28"/>
        </w:rPr>
      </w:pPr>
    </w:p>
    <w:p w:rsidR="009A6C9C" w:rsidRPr="00525C3E" w:rsidRDefault="009A6C9C" w:rsidP="009A6C9C">
      <w:pPr>
        <w:ind w:firstLine="720"/>
        <w:rPr>
          <w:szCs w:val="28"/>
        </w:rPr>
      </w:pPr>
      <w:r w:rsidRPr="00525C3E">
        <w:rPr>
          <w:szCs w:val="28"/>
        </w:rPr>
        <w:t>The third category of expenses incorporated by reference by the Bankruptcy Code includes those specifically listed by the Internal Revenue Service as Other Necessary Expenses.</w:t>
      </w:r>
      <w:r w:rsidR="00330D94" w:rsidRPr="00525C3E">
        <w:rPr>
          <w:szCs w:val="28"/>
        </w:rPr>
        <w:t xml:space="preserve"> </w:t>
      </w:r>
      <w:r w:rsidRPr="00525C3E">
        <w:rPr>
          <w:szCs w:val="28"/>
        </w:rPr>
        <w:t>Internal Revenue Manual</w:t>
      </w:r>
      <w:r w:rsidRPr="00525C3E">
        <w:rPr>
          <w:szCs w:val="28"/>
        </w:rPr>
        <w:fldChar w:fldCharType="begin"/>
      </w:r>
      <w:r w:rsidRPr="00525C3E">
        <w:rPr>
          <w:szCs w:val="28"/>
        </w:rPr>
        <w:instrText xml:space="preserve"> TA \s "Internal Revenue Manual" </w:instrText>
      </w:r>
      <w:r w:rsidRPr="00525C3E">
        <w:rPr>
          <w:szCs w:val="28"/>
        </w:rPr>
        <w:fldChar w:fldCharType="end"/>
      </w:r>
      <w:r w:rsidRPr="00525C3E">
        <w:rPr>
          <w:szCs w:val="28"/>
        </w:rPr>
        <w:t xml:space="preserve"> 5.15.1.10.</w:t>
      </w:r>
      <w:r w:rsidR="006F6963" w:rsidRPr="00525C3E">
        <w:rPr>
          <w:szCs w:val="28"/>
        </w:rPr>
        <w:t xml:space="preserve"> </w:t>
      </w:r>
      <w:r w:rsidR="006F6963" w:rsidRPr="00525C3E">
        <w:rPr>
          <w:i/>
          <w:szCs w:val="28"/>
        </w:rPr>
        <w:t xml:space="preserve">See </w:t>
      </w:r>
      <w:r w:rsidR="00B06599" w:rsidRPr="00525C3E">
        <w:rPr>
          <w:i/>
          <w:szCs w:val="28"/>
        </w:rPr>
        <w:t>In re Shahan</w:t>
      </w:r>
      <w:r w:rsidR="00B06599" w:rsidRPr="00525C3E">
        <w:rPr>
          <w:szCs w:val="28"/>
        </w:rPr>
        <w:t>, 367 B.R. 732 (Bankr. D. Kan.</w:t>
      </w:r>
      <w:r w:rsidR="006F6963" w:rsidRPr="00525C3E">
        <w:rPr>
          <w:szCs w:val="28"/>
        </w:rPr>
        <w:t xml:space="preserve"> 2007); </w:t>
      </w:r>
      <w:r w:rsidRPr="00525C3E">
        <w:rPr>
          <w:i/>
          <w:szCs w:val="28"/>
        </w:rPr>
        <w:t>In re Barraza</w:t>
      </w:r>
      <w:r w:rsidRPr="00525C3E">
        <w:rPr>
          <w:szCs w:val="28"/>
        </w:rPr>
        <w:t>, 346 B.R. 724, 730 (Bankr. N.D. Tex. 2006)</w:t>
      </w:r>
      <w:r w:rsidRPr="00525C3E">
        <w:rPr>
          <w:szCs w:val="28"/>
        </w:rPr>
        <w:fldChar w:fldCharType="begin"/>
      </w:r>
      <w:r w:rsidRPr="00525C3E">
        <w:rPr>
          <w:szCs w:val="28"/>
        </w:rPr>
        <w:instrText xml:space="preserve"> TA \l "</w:instrText>
      </w:r>
      <w:r w:rsidRPr="00525C3E">
        <w:rPr>
          <w:i/>
          <w:szCs w:val="28"/>
        </w:rPr>
        <w:instrText>In re Barraza</w:instrText>
      </w:r>
      <w:r w:rsidRPr="00525C3E">
        <w:rPr>
          <w:szCs w:val="28"/>
        </w:rPr>
        <w:instrText xml:space="preserve">, 346 B.R. 724 (Bankr. N.D. Tex. 2006)" \s "Barraza, 346 B.R." \c 1 </w:instrText>
      </w:r>
      <w:r w:rsidRPr="00525C3E">
        <w:rPr>
          <w:szCs w:val="28"/>
        </w:rPr>
        <w:fldChar w:fldCharType="end"/>
      </w:r>
      <w:r w:rsidR="006F6963" w:rsidRPr="00525C3E">
        <w:rPr>
          <w:szCs w:val="28"/>
        </w:rPr>
        <w:t xml:space="preserve">; </w:t>
      </w:r>
      <w:r w:rsidRPr="00525C3E">
        <w:rPr>
          <w:i/>
          <w:szCs w:val="28"/>
        </w:rPr>
        <w:t>In re Lara</w:t>
      </w:r>
      <w:r w:rsidRPr="00525C3E">
        <w:rPr>
          <w:szCs w:val="28"/>
        </w:rPr>
        <w:t>, 347 B.R. 198, 201, 204 (Bankr. N.D. Tex. 2006)</w:t>
      </w:r>
      <w:r w:rsidRPr="00525C3E">
        <w:rPr>
          <w:szCs w:val="28"/>
        </w:rPr>
        <w:fldChar w:fldCharType="begin"/>
      </w:r>
      <w:r w:rsidRPr="00525C3E">
        <w:rPr>
          <w:szCs w:val="28"/>
        </w:rPr>
        <w:instrText xml:space="preserve"> TA \l "</w:instrText>
      </w:r>
      <w:r w:rsidRPr="00525C3E">
        <w:rPr>
          <w:i/>
          <w:szCs w:val="28"/>
        </w:rPr>
        <w:instrText>In re Lara</w:instrText>
      </w:r>
      <w:r w:rsidRPr="00525C3E">
        <w:rPr>
          <w:szCs w:val="28"/>
        </w:rPr>
        <w:instrText xml:space="preserve">, 347 B.R. 198 (Bankr. N.D. Tex. 2006)" \s "Lara, 347 B.R." \c 1 </w:instrText>
      </w:r>
      <w:r w:rsidRPr="00525C3E">
        <w:rPr>
          <w:szCs w:val="28"/>
        </w:rPr>
        <w:fldChar w:fldCharType="end"/>
      </w:r>
      <w:r w:rsidR="006F6963" w:rsidRPr="00525C3E">
        <w:rPr>
          <w:szCs w:val="28"/>
        </w:rPr>
        <w:t>.</w:t>
      </w:r>
    </w:p>
    <w:p w:rsidR="009A6C9C" w:rsidRPr="00525C3E" w:rsidRDefault="009A6C9C" w:rsidP="009A6C9C">
      <w:pPr>
        <w:ind w:firstLine="720"/>
        <w:rPr>
          <w:szCs w:val="28"/>
        </w:rPr>
      </w:pPr>
    </w:p>
    <w:p w:rsidR="009A6C9C" w:rsidRPr="00525C3E" w:rsidRDefault="007D73E8" w:rsidP="007D73E8">
      <w:pPr>
        <w:pStyle w:val="Heading4"/>
        <w:numPr>
          <w:ilvl w:val="0"/>
          <w:numId w:val="5"/>
        </w:numPr>
        <w:rPr>
          <w:sz w:val="24"/>
          <w:u w:val="single"/>
        </w:rPr>
      </w:pPr>
      <w:r w:rsidRPr="00525C3E">
        <w:rPr>
          <w:sz w:val="24"/>
          <w:u w:val="single"/>
        </w:rPr>
        <w:t>These Expenses are A</w:t>
      </w:r>
      <w:r w:rsidR="009A6C9C" w:rsidRPr="00525C3E">
        <w:rPr>
          <w:sz w:val="24"/>
          <w:u w:val="single"/>
        </w:rPr>
        <w:t xml:space="preserve">llowed to </w:t>
      </w:r>
      <w:r w:rsidRPr="00525C3E">
        <w:rPr>
          <w:sz w:val="24"/>
          <w:u w:val="single"/>
        </w:rPr>
        <w:t>“A</w:t>
      </w:r>
      <w:r w:rsidR="00DA777F" w:rsidRPr="00525C3E">
        <w:rPr>
          <w:sz w:val="24"/>
          <w:u w:val="single"/>
        </w:rPr>
        <w:t>bove M</w:t>
      </w:r>
      <w:r w:rsidR="009A6C9C" w:rsidRPr="00525C3E">
        <w:rPr>
          <w:sz w:val="24"/>
          <w:u w:val="single"/>
        </w:rPr>
        <w:t>edian</w:t>
      </w:r>
      <w:r w:rsidRPr="00525C3E">
        <w:rPr>
          <w:sz w:val="24"/>
          <w:u w:val="single"/>
        </w:rPr>
        <w:t>”</w:t>
      </w:r>
      <w:r w:rsidR="009A6C9C" w:rsidRPr="00525C3E">
        <w:rPr>
          <w:sz w:val="24"/>
          <w:u w:val="single"/>
        </w:rPr>
        <w:t xml:space="preserve"> </w:t>
      </w:r>
      <w:r w:rsidRPr="00525C3E">
        <w:rPr>
          <w:sz w:val="24"/>
          <w:u w:val="single"/>
        </w:rPr>
        <w:t>D</w:t>
      </w:r>
      <w:r w:rsidR="00AE4895" w:rsidRPr="00525C3E">
        <w:rPr>
          <w:sz w:val="24"/>
          <w:u w:val="single"/>
        </w:rPr>
        <w:t>ebtor if H</w:t>
      </w:r>
      <w:r w:rsidR="009A6C9C" w:rsidRPr="00525C3E">
        <w:rPr>
          <w:sz w:val="24"/>
          <w:u w:val="single"/>
        </w:rPr>
        <w:t xml:space="preserve">e </w:t>
      </w:r>
      <w:r w:rsidRPr="00525C3E">
        <w:rPr>
          <w:sz w:val="24"/>
          <w:u w:val="single"/>
        </w:rPr>
        <w:t>A</w:t>
      </w:r>
      <w:r w:rsidR="009A6C9C" w:rsidRPr="00525C3E">
        <w:rPr>
          <w:sz w:val="24"/>
          <w:u w:val="single"/>
        </w:rPr>
        <w:t xml:space="preserve">ctually </w:t>
      </w:r>
      <w:r w:rsidR="00AE4895" w:rsidRPr="00525C3E">
        <w:rPr>
          <w:sz w:val="24"/>
          <w:u w:val="single"/>
        </w:rPr>
        <w:t>Incurs</w:t>
      </w:r>
      <w:r w:rsidRPr="00525C3E">
        <w:rPr>
          <w:sz w:val="24"/>
          <w:u w:val="single"/>
        </w:rPr>
        <w:t xml:space="preserve"> T</w:t>
      </w:r>
      <w:r w:rsidR="009A6C9C" w:rsidRPr="00525C3E">
        <w:rPr>
          <w:sz w:val="24"/>
          <w:u w:val="single"/>
        </w:rPr>
        <w:t>hem.</w:t>
      </w:r>
      <w:r w:rsidR="00330D94" w:rsidRPr="00525C3E">
        <w:rPr>
          <w:sz w:val="24"/>
          <w:u w:val="single"/>
        </w:rPr>
        <w:t xml:space="preserve"> </w:t>
      </w:r>
      <w:r w:rsidR="009A6C9C" w:rsidRPr="00525C3E">
        <w:rPr>
          <w:sz w:val="24"/>
          <w:u w:val="single"/>
        </w:rPr>
        <w:t>11 U.S.C. § 707(b)(2)(A)(ii)(I)</w:t>
      </w:r>
    </w:p>
    <w:p w:rsidR="009A6C9C" w:rsidRPr="00525C3E" w:rsidRDefault="009A6C9C" w:rsidP="009A6C9C">
      <w:pPr>
        <w:ind w:firstLine="720"/>
        <w:rPr>
          <w:szCs w:val="28"/>
        </w:rPr>
      </w:pPr>
    </w:p>
    <w:p w:rsidR="009A6C9C" w:rsidRPr="00525C3E" w:rsidRDefault="009A6C9C" w:rsidP="009A6C9C">
      <w:pPr>
        <w:ind w:firstLine="720"/>
        <w:rPr>
          <w:szCs w:val="28"/>
        </w:rPr>
      </w:pPr>
      <w:r w:rsidRPr="00525C3E">
        <w:rPr>
          <w:szCs w:val="28"/>
        </w:rPr>
        <w:fldChar w:fldCharType="begin"/>
      </w:r>
      <w:r w:rsidRPr="00525C3E">
        <w:rPr>
          <w:szCs w:val="28"/>
        </w:rPr>
        <w:instrText xml:space="preserve"> TA \s "11 U.S.C. § 707(b)(2)" </w:instrText>
      </w:r>
      <w:r w:rsidRPr="00525C3E">
        <w:rPr>
          <w:szCs w:val="28"/>
        </w:rPr>
        <w:fldChar w:fldCharType="end"/>
      </w:r>
      <w:r w:rsidRPr="00525C3E">
        <w:rPr>
          <w:i/>
          <w:szCs w:val="28"/>
        </w:rPr>
        <w:t>In re Demonica</w:t>
      </w:r>
      <w:r w:rsidRPr="00525C3E">
        <w:rPr>
          <w:szCs w:val="28"/>
        </w:rPr>
        <w:t>, 345 B.R. 895, 902 (Bankr. N.D. Ill. 2006)</w:t>
      </w:r>
      <w:r w:rsidRPr="00525C3E">
        <w:rPr>
          <w:szCs w:val="28"/>
        </w:rPr>
        <w:fldChar w:fldCharType="begin"/>
      </w:r>
      <w:r w:rsidRPr="00525C3E">
        <w:rPr>
          <w:szCs w:val="28"/>
        </w:rPr>
        <w:instrText xml:space="preserve"> TA \l "</w:instrText>
      </w:r>
      <w:r w:rsidRPr="00525C3E">
        <w:rPr>
          <w:i/>
          <w:szCs w:val="28"/>
        </w:rPr>
        <w:instrText>In re Demonica</w:instrText>
      </w:r>
      <w:r w:rsidRPr="00525C3E">
        <w:rPr>
          <w:szCs w:val="28"/>
        </w:rPr>
        <w:instrText xml:space="preserve">, 345 B.R. 895 (Bankr. N.D. Ill. 2006)" \s "Demonica, 345 B.R." \c 1 </w:instrText>
      </w:r>
      <w:r w:rsidRPr="00525C3E">
        <w:rPr>
          <w:szCs w:val="28"/>
        </w:rPr>
        <w:fldChar w:fldCharType="end"/>
      </w:r>
      <w:r w:rsidRPr="00525C3E">
        <w:rPr>
          <w:szCs w:val="28"/>
        </w:rPr>
        <w:t xml:space="preserve"> (“However, in reference to the IRS standards</w:t>
      </w:r>
      <w:r w:rsidR="004B518C" w:rsidRPr="00525C3E">
        <w:rPr>
          <w:szCs w:val="28"/>
        </w:rPr>
        <w:t>,</w:t>
      </w:r>
      <w:r w:rsidRPr="00525C3E">
        <w:rPr>
          <w:szCs w:val="28"/>
        </w:rPr>
        <w:t xml:space="preserve"> the term ‘actual expenses’ refers only to ‘the categories specified as Other Necessary Expenses ….’ </w:t>
      </w:r>
      <w:r w:rsidRPr="00525C3E">
        <w:rPr>
          <w:i/>
          <w:szCs w:val="28"/>
        </w:rPr>
        <w:t>11 U.S.C. § 707(b)(2)(A)(ii)(I)</w:t>
      </w:r>
      <w:r w:rsidRPr="00525C3E">
        <w:rPr>
          <w:szCs w:val="28"/>
        </w:rPr>
        <w:t>.”)</w:t>
      </w:r>
      <w:r w:rsidR="00E56608" w:rsidRPr="00525C3E">
        <w:rPr>
          <w:szCs w:val="28"/>
        </w:rPr>
        <w:t>.</w:t>
      </w:r>
    </w:p>
    <w:p w:rsidR="009A6C9C" w:rsidRPr="00525C3E" w:rsidRDefault="009A6C9C" w:rsidP="009A6C9C">
      <w:pPr>
        <w:ind w:firstLine="720"/>
        <w:rPr>
          <w:szCs w:val="28"/>
        </w:rPr>
      </w:pPr>
    </w:p>
    <w:p w:rsidR="00E56608" w:rsidRPr="00525C3E" w:rsidRDefault="00E56608" w:rsidP="009A6C9C">
      <w:pPr>
        <w:ind w:firstLine="720"/>
        <w:rPr>
          <w:szCs w:val="28"/>
        </w:rPr>
      </w:pPr>
      <w:r w:rsidRPr="00525C3E">
        <w:rPr>
          <w:i/>
          <w:szCs w:val="28"/>
        </w:rPr>
        <w:t>Babin v. Wilson</w:t>
      </w:r>
      <w:r w:rsidRPr="00525C3E">
        <w:rPr>
          <w:szCs w:val="28"/>
        </w:rPr>
        <w:t xml:space="preserve"> (</w:t>
      </w:r>
      <w:r w:rsidRPr="00525C3E">
        <w:rPr>
          <w:i/>
          <w:szCs w:val="28"/>
        </w:rPr>
        <w:t>In re Wilson</w:t>
      </w:r>
      <w:r w:rsidRPr="00525C3E">
        <w:rPr>
          <w:szCs w:val="28"/>
        </w:rPr>
        <w:t xml:space="preserve">), 383 B.R. 729, 731 </w:t>
      </w:r>
      <w:r w:rsidR="00AF2977" w:rsidRPr="00525C3E">
        <w:rPr>
          <w:szCs w:val="28"/>
        </w:rPr>
        <w:t>(B.A.P. 8th</w:t>
      </w:r>
      <w:r w:rsidRPr="00525C3E">
        <w:rPr>
          <w:szCs w:val="28"/>
        </w:rPr>
        <w:t xml:space="preserve"> Cir. 2008), </w:t>
      </w:r>
      <w:r w:rsidRPr="00525C3E">
        <w:rPr>
          <w:i/>
          <w:szCs w:val="28"/>
        </w:rPr>
        <w:t>rev’g</w:t>
      </w:r>
      <w:r w:rsidRPr="00525C3E">
        <w:rPr>
          <w:szCs w:val="28"/>
        </w:rPr>
        <w:t xml:space="preserve"> </w:t>
      </w:r>
      <w:r w:rsidRPr="00525C3E">
        <w:rPr>
          <w:i/>
          <w:szCs w:val="28"/>
        </w:rPr>
        <w:t>In re Wilson</w:t>
      </w:r>
      <w:r w:rsidRPr="00525C3E">
        <w:rPr>
          <w:szCs w:val="28"/>
        </w:rPr>
        <w:t>, 373 B.R. 638 (Bankr. W.D. Ark. 2007).</w:t>
      </w:r>
    </w:p>
    <w:p w:rsidR="00E56608" w:rsidRPr="00525C3E" w:rsidRDefault="00E56608" w:rsidP="009A6C9C">
      <w:pPr>
        <w:ind w:firstLine="720"/>
        <w:rPr>
          <w:szCs w:val="28"/>
        </w:rPr>
      </w:pPr>
    </w:p>
    <w:p w:rsidR="009A6C9C" w:rsidRPr="00525C3E" w:rsidRDefault="009A6C9C" w:rsidP="009A6C9C">
      <w:pPr>
        <w:ind w:firstLine="720"/>
        <w:rPr>
          <w:szCs w:val="28"/>
        </w:rPr>
      </w:pPr>
      <w:r w:rsidRPr="00525C3E">
        <w:rPr>
          <w:i/>
          <w:szCs w:val="28"/>
        </w:rPr>
        <w:t>In re Ceasar</w:t>
      </w:r>
      <w:r w:rsidRPr="00525C3E">
        <w:rPr>
          <w:szCs w:val="28"/>
        </w:rPr>
        <w:t>, 364 B.R. 257, 260 (Bankr. W.D. La. 2007)</w:t>
      </w:r>
      <w:r w:rsidRPr="00525C3E">
        <w:rPr>
          <w:szCs w:val="28"/>
        </w:rPr>
        <w:fldChar w:fldCharType="begin"/>
      </w:r>
      <w:r w:rsidRPr="00525C3E">
        <w:rPr>
          <w:szCs w:val="28"/>
        </w:rPr>
        <w:instrText xml:space="preserve"> TA \l "</w:instrText>
      </w:r>
      <w:r w:rsidRPr="00525C3E">
        <w:rPr>
          <w:i/>
          <w:szCs w:val="28"/>
        </w:rPr>
        <w:instrText>In re Ceasar</w:instrText>
      </w:r>
      <w:r w:rsidRPr="00525C3E">
        <w:rPr>
          <w:szCs w:val="28"/>
        </w:rPr>
        <w:instrText xml:space="preserve">, 364 B.R. 257 (Bankr. W.D. La. 2007)" \s "Ceasar, 364 B.R." \c 1 </w:instrText>
      </w:r>
      <w:r w:rsidRPr="00525C3E">
        <w:rPr>
          <w:szCs w:val="28"/>
        </w:rPr>
        <w:fldChar w:fldCharType="end"/>
      </w:r>
      <w:r w:rsidRPr="00525C3E">
        <w:rPr>
          <w:szCs w:val="28"/>
        </w:rPr>
        <w:t xml:space="preserve"> (“The means test thus incorporates … the debtor’s </w:t>
      </w:r>
      <w:r w:rsidRPr="00525C3E">
        <w:rPr>
          <w:i/>
          <w:szCs w:val="28"/>
        </w:rPr>
        <w:t>actual</w:t>
      </w:r>
      <w:r w:rsidRPr="00525C3E">
        <w:rPr>
          <w:szCs w:val="28"/>
        </w:rPr>
        <w:t xml:space="preserve"> monthly expenses for expenses falling into the IRS’ ‘Other Necessary Expenses.’”).</w:t>
      </w:r>
    </w:p>
    <w:p w:rsidR="009A6C9C" w:rsidRPr="00525C3E" w:rsidRDefault="007D73E8" w:rsidP="007D73E8">
      <w:pPr>
        <w:pStyle w:val="Heading4"/>
        <w:numPr>
          <w:ilvl w:val="0"/>
          <w:numId w:val="5"/>
        </w:numPr>
        <w:rPr>
          <w:sz w:val="24"/>
          <w:u w:val="single"/>
        </w:rPr>
      </w:pPr>
      <w:r w:rsidRPr="00525C3E">
        <w:rPr>
          <w:sz w:val="24"/>
          <w:u w:val="single"/>
        </w:rPr>
        <w:t>As with Applicable Expense Amounts, Actual Other Necessary Expenses Must be N</w:t>
      </w:r>
      <w:r w:rsidR="009A6C9C" w:rsidRPr="00525C3E">
        <w:rPr>
          <w:sz w:val="24"/>
          <w:u w:val="single"/>
        </w:rPr>
        <w:t>ecessary</w:t>
      </w:r>
      <w:r w:rsidRPr="00525C3E">
        <w:rPr>
          <w:sz w:val="24"/>
          <w:u w:val="single"/>
        </w:rPr>
        <w:t>.</w:t>
      </w:r>
    </w:p>
    <w:p w:rsidR="009A6C9C" w:rsidRPr="00525C3E" w:rsidRDefault="009A6C9C" w:rsidP="009A6C9C">
      <w:pPr>
        <w:ind w:firstLine="720"/>
        <w:rPr>
          <w:szCs w:val="28"/>
        </w:rPr>
      </w:pPr>
    </w:p>
    <w:p w:rsidR="0021253C" w:rsidRPr="00525C3E" w:rsidRDefault="0021253C" w:rsidP="0021253C">
      <w:pPr>
        <w:ind w:firstLine="720"/>
      </w:pPr>
      <w:r w:rsidRPr="00525C3E">
        <w:t>“Other expenses may be considered if they meet the necessary expense test –they must provide for the health and welfare of the taxpayer and/or his or her family or they must be for the production of income.”  Internal Revenue Manual 5.15.1.10, item 1.</w:t>
      </w:r>
    </w:p>
    <w:p w:rsidR="0021253C" w:rsidRPr="00525C3E" w:rsidRDefault="0021253C" w:rsidP="009A6C9C">
      <w:pPr>
        <w:ind w:firstLine="720"/>
        <w:rPr>
          <w:i/>
          <w:szCs w:val="28"/>
        </w:rPr>
      </w:pPr>
    </w:p>
    <w:p w:rsidR="003D38F5" w:rsidRPr="00525C3E" w:rsidRDefault="007514AE" w:rsidP="009A6C9C">
      <w:pPr>
        <w:ind w:firstLine="720"/>
        <w:rPr>
          <w:szCs w:val="28"/>
        </w:rPr>
      </w:pPr>
      <w:r w:rsidRPr="00525C3E">
        <w:rPr>
          <w:i/>
          <w:szCs w:val="28"/>
        </w:rPr>
        <w:t>In re Daniel-Sanders</w:t>
      </w:r>
      <w:r w:rsidRPr="00525C3E">
        <w:rPr>
          <w:szCs w:val="28"/>
        </w:rPr>
        <w:t>, No. 09-10695, 2009 Bankr. LEXIS 4148 (Bankr.W.D.N.Y. Dec. 30, 2009) (holding that</w:t>
      </w:r>
      <w:r w:rsidR="00557009" w:rsidRPr="00525C3E">
        <w:rPr>
          <w:szCs w:val="28"/>
        </w:rPr>
        <w:t xml:space="preserve"> in most instances</w:t>
      </w:r>
      <w:r w:rsidRPr="00525C3E">
        <w:rPr>
          <w:szCs w:val="28"/>
        </w:rPr>
        <w:t xml:space="preserve"> single debtor living in household with only one licensed driver may only expense one vehicle</w:t>
      </w:r>
      <w:r w:rsidR="00D462A4" w:rsidRPr="00525C3E">
        <w:rPr>
          <w:szCs w:val="28"/>
        </w:rPr>
        <w:t xml:space="preserve"> pursuant to IRS standards, but upon showing of special circumstances and good faith, debtor may be able to claim second vehicle</w:t>
      </w:r>
      <w:r w:rsidRPr="00525C3E">
        <w:rPr>
          <w:szCs w:val="28"/>
        </w:rPr>
        <w:t>);</w:t>
      </w:r>
      <w:r w:rsidR="00D25381" w:rsidRPr="00525C3E">
        <w:rPr>
          <w:szCs w:val="28"/>
        </w:rPr>
        <w:t xml:space="preserve"> </w:t>
      </w:r>
      <w:r w:rsidR="00D25381" w:rsidRPr="00525C3E">
        <w:rPr>
          <w:i/>
          <w:szCs w:val="28"/>
        </w:rPr>
        <w:t>see also In re Cleaver</w:t>
      </w:r>
      <w:r w:rsidR="00D25381" w:rsidRPr="00525C3E">
        <w:rPr>
          <w:szCs w:val="28"/>
        </w:rPr>
        <w:t xml:space="preserve">, No. 09-14164, 2010 Bankr. LEXIS 872 (Bankr. D.N.M. March 22, 2010) (finding that court-ordered payment for pre-petition unsecured debt is not </w:t>
      </w:r>
      <w:r w:rsidR="0035520B" w:rsidRPr="00525C3E">
        <w:rPr>
          <w:szCs w:val="28"/>
        </w:rPr>
        <w:t>O</w:t>
      </w:r>
      <w:r w:rsidR="00D25381" w:rsidRPr="00525C3E">
        <w:rPr>
          <w:szCs w:val="28"/>
        </w:rPr>
        <w:t xml:space="preserve">ther </w:t>
      </w:r>
      <w:r w:rsidR="0035520B" w:rsidRPr="00525C3E">
        <w:rPr>
          <w:szCs w:val="28"/>
        </w:rPr>
        <w:t>N</w:t>
      </w:r>
      <w:r w:rsidR="00D25381" w:rsidRPr="00525C3E">
        <w:rPr>
          <w:szCs w:val="28"/>
        </w:rPr>
        <w:t xml:space="preserve">ecessary </w:t>
      </w:r>
      <w:r w:rsidR="0035520B" w:rsidRPr="00525C3E">
        <w:rPr>
          <w:szCs w:val="28"/>
        </w:rPr>
        <w:t>E</w:t>
      </w:r>
      <w:r w:rsidR="00D25381" w:rsidRPr="00525C3E">
        <w:rPr>
          <w:szCs w:val="28"/>
        </w:rPr>
        <w:t>xpense because</w:t>
      </w:r>
      <w:r w:rsidR="00863559" w:rsidRPr="00525C3E">
        <w:rPr>
          <w:szCs w:val="28"/>
        </w:rPr>
        <w:t xml:space="preserve"> it will be discharged by bankruptcy case</w:t>
      </w:r>
      <w:r w:rsidR="007B4367" w:rsidRPr="00525C3E">
        <w:rPr>
          <w:szCs w:val="28"/>
        </w:rPr>
        <w:t xml:space="preserve">, finding that payment for son’s school choir participation </w:t>
      </w:r>
      <w:r w:rsidR="007B4367" w:rsidRPr="00525C3E">
        <w:rPr>
          <w:szCs w:val="28"/>
        </w:rPr>
        <w:lastRenderedPageBreak/>
        <w:t>is not other necessary expense, and finding that debtors may not expense additional food and clothing expense as other necessary expense</w:t>
      </w:r>
      <w:r w:rsidR="00863559" w:rsidRPr="00525C3E">
        <w:rPr>
          <w:szCs w:val="28"/>
        </w:rPr>
        <w:t>)</w:t>
      </w:r>
      <w:r w:rsidR="00D25381" w:rsidRPr="00525C3E">
        <w:rPr>
          <w:szCs w:val="28"/>
        </w:rPr>
        <w:t>;</w:t>
      </w:r>
      <w:r w:rsidRPr="00525C3E">
        <w:rPr>
          <w:i/>
          <w:szCs w:val="28"/>
        </w:rPr>
        <w:t xml:space="preserve"> </w:t>
      </w:r>
      <w:r w:rsidR="00B06599" w:rsidRPr="00525C3E">
        <w:rPr>
          <w:i/>
          <w:szCs w:val="28"/>
        </w:rPr>
        <w:t>In re Shahan</w:t>
      </w:r>
      <w:r w:rsidR="00B06599" w:rsidRPr="00525C3E">
        <w:rPr>
          <w:szCs w:val="28"/>
        </w:rPr>
        <w:t>, 367 B.R. 732 (Bankr. D. Kan.</w:t>
      </w:r>
      <w:r w:rsidR="006F6963" w:rsidRPr="00525C3E">
        <w:rPr>
          <w:szCs w:val="28"/>
        </w:rPr>
        <w:t xml:space="preserve"> 2007); </w:t>
      </w:r>
      <w:r w:rsidR="009A6C9C" w:rsidRPr="00525C3E">
        <w:rPr>
          <w:i/>
          <w:szCs w:val="28"/>
        </w:rPr>
        <w:t>In re Lara</w:t>
      </w:r>
      <w:r w:rsidR="009A6C9C" w:rsidRPr="00525C3E">
        <w:rPr>
          <w:szCs w:val="28"/>
        </w:rPr>
        <w:t>, 347 B.R. 198, 204 (Bankr. N.D. Tex.</w:t>
      </w:r>
      <w:r w:rsidR="006F6963" w:rsidRPr="00525C3E">
        <w:rPr>
          <w:szCs w:val="28"/>
        </w:rPr>
        <w:t xml:space="preserve"> 2006); </w:t>
      </w:r>
      <w:r w:rsidR="009A6C9C" w:rsidRPr="00525C3E">
        <w:rPr>
          <w:szCs w:val="28"/>
        </w:rPr>
        <w:fldChar w:fldCharType="begin"/>
      </w:r>
      <w:r w:rsidR="009A6C9C" w:rsidRPr="00525C3E">
        <w:rPr>
          <w:szCs w:val="28"/>
        </w:rPr>
        <w:instrText xml:space="preserve"> TA \s "In re Lara, 347 B.R." </w:instrText>
      </w:r>
      <w:r w:rsidR="009A6C9C" w:rsidRPr="00525C3E">
        <w:rPr>
          <w:szCs w:val="28"/>
        </w:rPr>
        <w:fldChar w:fldCharType="end"/>
      </w:r>
      <w:r w:rsidR="009A6C9C" w:rsidRPr="00525C3E">
        <w:rPr>
          <w:i/>
          <w:szCs w:val="28"/>
        </w:rPr>
        <w:t>In re Crittendon</w:t>
      </w:r>
      <w:r w:rsidR="009A6C9C" w:rsidRPr="00525C3E">
        <w:rPr>
          <w:szCs w:val="28"/>
        </w:rPr>
        <w:t>, No. 06-10322, 2006 Bankr. LEXIS 2172, at *11 n.4 (Bankr. M.D.N.C. Sept. 1, 2006)</w:t>
      </w:r>
      <w:r w:rsidR="009A6C9C" w:rsidRPr="00525C3E">
        <w:rPr>
          <w:szCs w:val="28"/>
        </w:rPr>
        <w:fldChar w:fldCharType="begin"/>
      </w:r>
      <w:r w:rsidR="009A6C9C" w:rsidRPr="00525C3E">
        <w:rPr>
          <w:szCs w:val="28"/>
        </w:rPr>
        <w:instrText xml:space="preserve"> TA \l "</w:instrText>
      </w:r>
      <w:r w:rsidR="009A6C9C" w:rsidRPr="00525C3E">
        <w:rPr>
          <w:i/>
          <w:szCs w:val="28"/>
        </w:rPr>
        <w:instrText>In re Crittendon</w:instrText>
      </w:r>
      <w:r w:rsidR="009A6C9C" w:rsidRPr="00525C3E">
        <w:rPr>
          <w:szCs w:val="28"/>
        </w:rPr>
        <w:instrText xml:space="preserve">, No. 06-10322, 2006 Bankr. LEXIS 2172 (Bankr. M.D.N.C. Sept. 1, 2006)" \s "In re Crittendon, No. 06-10322, 2006 Bankr. LEXIS 2172" \c 1 </w:instrText>
      </w:r>
      <w:r w:rsidR="009A6C9C" w:rsidRPr="00525C3E">
        <w:rPr>
          <w:szCs w:val="28"/>
        </w:rPr>
        <w:fldChar w:fldCharType="end"/>
      </w:r>
      <w:r w:rsidR="009A6C9C" w:rsidRPr="00525C3E">
        <w:rPr>
          <w:szCs w:val="28"/>
        </w:rPr>
        <w:t xml:space="preserve"> (“The enumerated ‘other necessary expenses’ must be ‘necessary’ in order to be deductible ….”)</w:t>
      </w:r>
      <w:r w:rsidR="006F6963" w:rsidRPr="00525C3E">
        <w:rPr>
          <w:szCs w:val="28"/>
        </w:rPr>
        <w:t xml:space="preserve">; </w:t>
      </w:r>
      <w:r w:rsidR="009A6C9C" w:rsidRPr="00525C3E">
        <w:rPr>
          <w:i/>
          <w:szCs w:val="28"/>
        </w:rPr>
        <w:t>In re Demonica</w:t>
      </w:r>
      <w:r w:rsidR="009A6C9C" w:rsidRPr="00525C3E">
        <w:rPr>
          <w:szCs w:val="28"/>
        </w:rPr>
        <w:t xml:space="preserve">, 345 B.R. </w:t>
      </w:r>
      <w:r w:rsidR="00632E23" w:rsidRPr="00525C3E">
        <w:rPr>
          <w:szCs w:val="28"/>
        </w:rPr>
        <w:t xml:space="preserve">895, </w:t>
      </w:r>
      <w:r w:rsidR="009A6C9C" w:rsidRPr="00525C3E">
        <w:rPr>
          <w:szCs w:val="28"/>
        </w:rPr>
        <w:t>905</w:t>
      </w:r>
      <w:r w:rsidR="00632E23" w:rsidRPr="00525C3E">
        <w:rPr>
          <w:szCs w:val="28"/>
        </w:rPr>
        <w:t xml:space="preserve"> (Bankr. N.D. Ill. 2006)</w:t>
      </w:r>
      <w:r w:rsidR="009A6C9C" w:rsidRPr="00525C3E">
        <w:rPr>
          <w:szCs w:val="28"/>
        </w:rPr>
        <w:fldChar w:fldCharType="begin"/>
      </w:r>
      <w:r w:rsidR="009A6C9C" w:rsidRPr="00525C3E">
        <w:rPr>
          <w:szCs w:val="28"/>
        </w:rPr>
        <w:instrText xml:space="preserve"> TA \s "In re Demonica, 345 B.R." </w:instrText>
      </w:r>
      <w:r w:rsidR="009A6C9C" w:rsidRPr="00525C3E">
        <w:rPr>
          <w:szCs w:val="28"/>
        </w:rPr>
        <w:fldChar w:fldCharType="end"/>
      </w:r>
      <w:r w:rsidR="009A6C9C" w:rsidRPr="00525C3E">
        <w:rPr>
          <w:szCs w:val="28"/>
        </w:rPr>
        <w:t xml:space="preserve"> (opining that a debtor’s claim for Other N</w:t>
      </w:r>
      <w:r w:rsidR="00CB6DBD" w:rsidRPr="00525C3E">
        <w:rPr>
          <w:szCs w:val="28"/>
        </w:rPr>
        <w:t>ecessary Expenses</w:t>
      </w:r>
      <w:r w:rsidR="009A6C9C" w:rsidRPr="00525C3E">
        <w:rPr>
          <w:szCs w:val="28"/>
        </w:rPr>
        <w:t xml:space="preserve"> “must itemize, document and provide a detailed” showing that such expenses are reasonable and necessary.)</w:t>
      </w:r>
      <w:r w:rsidR="006F6963" w:rsidRPr="00525C3E">
        <w:rPr>
          <w:szCs w:val="28"/>
        </w:rPr>
        <w:t xml:space="preserve">; </w:t>
      </w:r>
      <w:r w:rsidR="001D5207" w:rsidRPr="00525C3E">
        <w:rPr>
          <w:i/>
          <w:szCs w:val="28"/>
        </w:rPr>
        <w:t>In re Stimac</w:t>
      </w:r>
      <w:r w:rsidR="001D5207" w:rsidRPr="00525C3E">
        <w:rPr>
          <w:szCs w:val="28"/>
        </w:rPr>
        <w:t>, 366 B.R. 889, 892 (Bankr. E.D. Wis. 2007)</w:t>
      </w:r>
      <w:r w:rsidR="003D38F5" w:rsidRPr="00525C3E">
        <w:rPr>
          <w:szCs w:val="28"/>
        </w:rPr>
        <w:t xml:space="preserve"> (relying on the Internal Revenue Manual to require that Other Necessary Expenses be necessary for the health and welfare of the debtor and her family or for the produc</w:t>
      </w:r>
      <w:r w:rsidR="006F6963" w:rsidRPr="00525C3E">
        <w:rPr>
          <w:szCs w:val="28"/>
        </w:rPr>
        <w:t xml:space="preserve">tion of income); </w:t>
      </w:r>
      <w:r w:rsidR="003D38F5" w:rsidRPr="00525C3E">
        <w:rPr>
          <w:i/>
          <w:szCs w:val="28"/>
        </w:rPr>
        <w:t>In re Saffrin</w:t>
      </w:r>
      <w:r w:rsidR="003D38F5" w:rsidRPr="00525C3E">
        <w:rPr>
          <w:szCs w:val="28"/>
        </w:rPr>
        <w:t>, 380 B.R. 191, 193 (Bankr. N.D. Ill. 2007) (limiting deduction as an Other Necessary Expense to that which is necessary and falls within the categories set forth in the Internal Revenue Manual).</w:t>
      </w:r>
    </w:p>
    <w:p w:rsidR="009961E2" w:rsidRPr="00525C3E" w:rsidRDefault="007D73E8" w:rsidP="00D975CD">
      <w:pPr>
        <w:pStyle w:val="Heading3"/>
        <w:numPr>
          <w:ilvl w:val="0"/>
          <w:numId w:val="13"/>
        </w:numPr>
        <w:rPr>
          <w:rFonts w:ascii="Times New Roman" w:hAnsi="Times New Roman" w:cs="Times New Roman"/>
          <w:sz w:val="24"/>
          <w:szCs w:val="24"/>
        </w:rPr>
      </w:pPr>
      <w:r w:rsidRPr="00525C3E">
        <w:rPr>
          <w:rFonts w:ascii="Times New Roman" w:hAnsi="Times New Roman" w:cs="Times New Roman"/>
          <w:sz w:val="24"/>
          <w:szCs w:val="24"/>
        </w:rPr>
        <w:t>Items Being S</w:t>
      </w:r>
      <w:r w:rsidR="009961E2" w:rsidRPr="00525C3E">
        <w:rPr>
          <w:rFonts w:ascii="Times New Roman" w:hAnsi="Times New Roman" w:cs="Times New Roman"/>
          <w:sz w:val="24"/>
          <w:szCs w:val="24"/>
        </w:rPr>
        <w:t>urrendered</w:t>
      </w:r>
    </w:p>
    <w:p w:rsidR="009961E2" w:rsidRPr="00525C3E" w:rsidRDefault="009961E2" w:rsidP="009961E2"/>
    <w:p w:rsidR="00E03AF4" w:rsidRPr="00525C3E" w:rsidRDefault="009C07F9" w:rsidP="00E03AF4">
      <w:pPr>
        <w:ind w:firstLine="720"/>
      </w:pPr>
      <w:r w:rsidRPr="00525C3E">
        <w:t>An issue that arises with some frequency is whether a debtor, in calculating his projected disposable income, may expense the cost</w:t>
      </w:r>
      <w:r w:rsidR="00BE7540" w:rsidRPr="00525C3E">
        <w:t xml:space="preserve"> of debt service for collateral</w:t>
      </w:r>
      <w:r w:rsidRPr="00525C3E">
        <w:t xml:space="preserve"> that she proposes to surrender, arguably artificially reducing her projected disposable income to be paid to unsecured creditors.</w:t>
      </w:r>
    </w:p>
    <w:p w:rsidR="009C07F9" w:rsidRPr="00525C3E" w:rsidRDefault="007D73E8" w:rsidP="00E03AF4">
      <w:pPr>
        <w:ind w:left="720" w:firstLine="720"/>
      </w:pPr>
      <w:r w:rsidRPr="00525C3E">
        <w:rPr>
          <w:b/>
        </w:rPr>
        <w:t>a.</w:t>
      </w:r>
      <w:r w:rsidRPr="00525C3E">
        <w:rPr>
          <w:b/>
        </w:rPr>
        <w:tab/>
      </w:r>
      <w:r w:rsidRPr="00525C3E">
        <w:rPr>
          <w:b/>
          <w:u w:val="single"/>
        </w:rPr>
        <w:t>May Not E</w:t>
      </w:r>
      <w:r w:rsidR="009C07F9" w:rsidRPr="00525C3E">
        <w:rPr>
          <w:b/>
          <w:u w:val="single"/>
        </w:rPr>
        <w:t>xpense</w:t>
      </w:r>
    </w:p>
    <w:p w:rsidR="008B7AD5" w:rsidRPr="00525C3E" w:rsidRDefault="008B7AD5" w:rsidP="008B7AD5">
      <w:pPr>
        <w:ind w:firstLine="720"/>
        <w:jc w:val="center"/>
      </w:pPr>
    </w:p>
    <w:p w:rsidR="003B7D8C" w:rsidRPr="00525C3E" w:rsidRDefault="003B7D8C" w:rsidP="008B7AD5">
      <w:pPr>
        <w:ind w:firstLine="720"/>
      </w:pPr>
    </w:p>
    <w:p w:rsidR="00675E05" w:rsidRPr="00525C3E" w:rsidRDefault="00675E05" w:rsidP="008667FE">
      <w:pPr>
        <w:ind w:firstLine="720"/>
      </w:pPr>
      <w:r w:rsidRPr="00525C3E">
        <w:rPr>
          <w:i/>
        </w:rPr>
        <w:t>In re Turner</w:t>
      </w:r>
      <w:r w:rsidRPr="00525C3E">
        <w:t>, No. 08-2163, 2009 U.S. App. LEXIS 15942, 574 F.3d 349 (7th Cir. July 20, 2009) (disallowing deduction for home intended for surrender).</w:t>
      </w:r>
    </w:p>
    <w:p w:rsidR="00E64456" w:rsidRPr="00525C3E" w:rsidRDefault="00E64456" w:rsidP="00E64456">
      <w:pPr>
        <w:ind w:firstLine="720"/>
        <w:rPr>
          <w:i/>
          <w:szCs w:val="28"/>
        </w:rPr>
      </w:pPr>
    </w:p>
    <w:p w:rsidR="000E273A" w:rsidRPr="00525C3E" w:rsidRDefault="000E273A" w:rsidP="000E273A">
      <w:pPr>
        <w:ind w:firstLine="720"/>
        <w:rPr>
          <w:szCs w:val="28"/>
        </w:rPr>
      </w:pPr>
      <w:r w:rsidRPr="00525C3E">
        <w:rPr>
          <w:i/>
          <w:szCs w:val="28"/>
        </w:rPr>
        <w:t xml:space="preserve">American Express Bank v. Smith </w:t>
      </w:r>
      <w:r w:rsidRPr="00525C3E">
        <w:rPr>
          <w:szCs w:val="28"/>
        </w:rPr>
        <w:t>(</w:t>
      </w:r>
      <w:r w:rsidRPr="00525C3E">
        <w:rPr>
          <w:i/>
          <w:szCs w:val="28"/>
        </w:rPr>
        <w:t>In re Smith</w:t>
      </w:r>
      <w:r w:rsidRPr="00525C3E">
        <w:rPr>
          <w:szCs w:val="28"/>
        </w:rPr>
        <w:t>), 418 B.R. 359 (B.A.P. 9th Cir. 2009) (holding that debtor may not deduct secured debt payments for items to be surrendered under the plan)</w:t>
      </w:r>
      <w:r w:rsidR="00B82F69" w:rsidRPr="00525C3E">
        <w:rPr>
          <w:szCs w:val="28"/>
        </w:rPr>
        <w:t xml:space="preserve">, </w:t>
      </w:r>
      <w:r w:rsidR="00B82F69" w:rsidRPr="00525C3E">
        <w:rPr>
          <w:i/>
          <w:szCs w:val="28"/>
        </w:rPr>
        <w:t>appeal filed</w:t>
      </w:r>
      <w:r w:rsidRPr="00525C3E">
        <w:rPr>
          <w:szCs w:val="28"/>
        </w:rPr>
        <w:t>.</w:t>
      </w:r>
    </w:p>
    <w:p w:rsidR="000E273A" w:rsidRPr="00525C3E" w:rsidRDefault="000E273A" w:rsidP="00E64456">
      <w:pPr>
        <w:ind w:firstLine="720"/>
        <w:rPr>
          <w:i/>
          <w:szCs w:val="28"/>
        </w:rPr>
      </w:pPr>
    </w:p>
    <w:p w:rsidR="00E64456" w:rsidRPr="00525C3E" w:rsidRDefault="00E64456" w:rsidP="00E64456">
      <w:pPr>
        <w:ind w:firstLine="720"/>
        <w:rPr>
          <w:szCs w:val="28"/>
        </w:rPr>
      </w:pPr>
      <w:r w:rsidRPr="00525C3E">
        <w:rPr>
          <w:i/>
          <w:szCs w:val="28"/>
        </w:rPr>
        <w:t xml:space="preserve">Yarnall v. Martinez </w:t>
      </w:r>
      <w:r w:rsidRPr="00525C3E">
        <w:rPr>
          <w:szCs w:val="28"/>
        </w:rPr>
        <w:t>(</w:t>
      </w:r>
      <w:r w:rsidRPr="00525C3E">
        <w:rPr>
          <w:i/>
          <w:szCs w:val="28"/>
        </w:rPr>
        <w:t>In re Martinez</w:t>
      </w:r>
      <w:r w:rsidRPr="00525C3E">
        <w:rPr>
          <w:szCs w:val="28"/>
        </w:rPr>
        <w:t>), 418 B.R. 347 (B.A.P. 9th Cir. 2009) (finding that when lien on home is stripped down, debtor may only expense remaining payment amount, not higher payment amount prior to strip down)</w:t>
      </w:r>
      <w:r w:rsidR="0046315A" w:rsidRPr="00525C3E">
        <w:rPr>
          <w:szCs w:val="28"/>
        </w:rPr>
        <w:t xml:space="preserve">, </w:t>
      </w:r>
      <w:r w:rsidR="0046315A" w:rsidRPr="00525C3E">
        <w:rPr>
          <w:i/>
          <w:szCs w:val="28"/>
        </w:rPr>
        <w:t>appeal filed</w:t>
      </w:r>
      <w:r w:rsidRPr="00525C3E">
        <w:rPr>
          <w:szCs w:val="28"/>
        </w:rPr>
        <w:t>.</w:t>
      </w:r>
    </w:p>
    <w:p w:rsidR="000E273A" w:rsidRPr="00525C3E" w:rsidRDefault="000E273A" w:rsidP="00E64456">
      <w:pPr>
        <w:ind w:firstLine="720"/>
        <w:rPr>
          <w:szCs w:val="28"/>
        </w:rPr>
      </w:pPr>
    </w:p>
    <w:p w:rsidR="00675E05" w:rsidRPr="00525C3E" w:rsidRDefault="00675E05" w:rsidP="008667FE">
      <w:pPr>
        <w:ind w:firstLine="720"/>
      </w:pPr>
      <w:r w:rsidRPr="00525C3E">
        <w:rPr>
          <w:i/>
        </w:rPr>
        <w:t>Thissen v. Johnson</w:t>
      </w:r>
      <w:r w:rsidRPr="00525C3E">
        <w:t>, 406 B.R. 888 (E.D. Cal. 2009) (finding that in lien stripping context cannot deduct full payment in means test, only reduced amount).</w:t>
      </w:r>
    </w:p>
    <w:p w:rsidR="00675E05" w:rsidRPr="00525C3E" w:rsidRDefault="00675E05" w:rsidP="008667FE">
      <w:pPr>
        <w:ind w:firstLine="720"/>
        <w:rPr>
          <w:i/>
        </w:rPr>
      </w:pPr>
    </w:p>
    <w:p w:rsidR="008667FE" w:rsidRPr="00525C3E" w:rsidRDefault="008667FE" w:rsidP="008667FE">
      <w:pPr>
        <w:ind w:firstLine="720"/>
      </w:pPr>
      <w:r w:rsidRPr="00525C3E">
        <w:rPr>
          <w:i/>
        </w:rPr>
        <w:t>In re Suess</w:t>
      </w:r>
      <w:r w:rsidRPr="00525C3E">
        <w:t>, 387 B.R. 243 (Bankr. W.D. Mo. 2008)</w:t>
      </w:r>
      <w:r w:rsidRPr="00525C3E">
        <w:rPr>
          <w:i/>
        </w:rPr>
        <w:t xml:space="preserve"> </w:t>
      </w:r>
      <w:r w:rsidRPr="00525C3E">
        <w:t>(noting that, and concurring with, “the majority of courts to consider the applicability of the secured debt deduction despite surrender of property in [the Chapter 13] context has [sic] held it improper”).</w:t>
      </w:r>
    </w:p>
    <w:p w:rsidR="009C07F9" w:rsidRPr="00525C3E" w:rsidRDefault="009C07F9" w:rsidP="00123DD9">
      <w:pPr>
        <w:ind w:firstLine="720"/>
      </w:pPr>
    </w:p>
    <w:p w:rsidR="005F15A4" w:rsidRPr="00525C3E" w:rsidRDefault="00F05CF3" w:rsidP="00123DD9">
      <w:pPr>
        <w:ind w:firstLine="720"/>
      </w:pPr>
      <w:r w:rsidRPr="00525C3E">
        <w:rPr>
          <w:i/>
        </w:rPr>
        <w:t>In re Harris</w:t>
      </w:r>
      <w:r w:rsidRPr="00525C3E">
        <w:t xml:space="preserve">, 353 B.R. 304 (Bankr. E.D. Okla. 2006) (opining in a Chapter 7 matter </w:t>
      </w:r>
      <w:r w:rsidR="005F15A4" w:rsidRPr="00525C3E">
        <w:t>“</w:t>
      </w:r>
      <w:r w:rsidRPr="00525C3E">
        <w:t>that</w:t>
      </w:r>
      <w:r w:rsidRPr="00525C3E">
        <w:rPr>
          <w:rFonts w:ascii="Verdana" w:hAnsi="Verdana"/>
          <w:sz w:val="20"/>
          <w:szCs w:val="20"/>
        </w:rPr>
        <w:t xml:space="preserve"> </w:t>
      </w:r>
      <w:r w:rsidRPr="00525C3E">
        <w:t>monthly payments for secured debt cannot be included in the means test calculation when a debtor or debtors intend to surrender the corresponding collateral.</w:t>
      </w:r>
      <w:r w:rsidR="005F15A4" w:rsidRPr="00525C3E">
        <w:t>”)</w:t>
      </w:r>
      <w:r w:rsidR="00B40F9F" w:rsidRPr="00525C3E">
        <w:t>.</w:t>
      </w:r>
    </w:p>
    <w:p w:rsidR="005F15A4" w:rsidRPr="00525C3E" w:rsidRDefault="005F15A4" w:rsidP="00123DD9">
      <w:pPr>
        <w:ind w:firstLine="720"/>
      </w:pPr>
    </w:p>
    <w:p w:rsidR="005F15A4" w:rsidRPr="00525C3E" w:rsidRDefault="005F15A4" w:rsidP="00123DD9">
      <w:pPr>
        <w:ind w:firstLine="720"/>
      </w:pPr>
      <w:r w:rsidRPr="00525C3E">
        <w:rPr>
          <w:i/>
        </w:rPr>
        <w:t>In re Edmondson</w:t>
      </w:r>
      <w:r w:rsidRPr="00525C3E">
        <w:t>, 371 B.R. 482 (Bankr. D.N.M. 2007).</w:t>
      </w:r>
    </w:p>
    <w:p w:rsidR="005F15A4" w:rsidRPr="00525C3E" w:rsidRDefault="005F15A4" w:rsidP="00123DD9">
      <w:pPr>
        <w:ind w:firstLine="720"/>
      </w:pPr>
    </w:p>
    <w:p w:rsidR="00F5296C" w:rsidRPr="00525C3E" w:rsidRDefault="00F5296C" w:rsidP="00123DD9">
      <w:pPr>
        <w:ind w:firstLine="720"/>
      </w:pPr>
      <w:r w:rsidRPr="00525C3E">
        <w:rPr>
          <w:i/>
        </w:rPr>
        <w:lastRenderedPageBreak/>
        <w:t>In re Hoss</w:t>
      </w:r>
      <w:r w:rsidRPr="00525C3E">
        <w:t>, 392 B.R. 463 (Bankr. D. Kan. 2008).</w:t>
      </w:r>
    </w:p>
    <w:p w:rsidR="00983261" w:rsidRPr="00525C3E" w:rsidRDefault="00983261" w:rsidP="00123DD9">
      <w:pPr>
        <w:ind w:firstLine="720"/>
      </w:pPr>
    </w:p>
    <w:p w:rsidR="00983261" w:rsidRPr="00525C3E" w:rsidRDefault="00983261" w:rsidP="00123DD9">
      <w:pPr>
        <w:ind w:firstLine="720"/>
      </w:pPr>
      <w:r w:rsidRPr="00525C3E">
        <w:rPr>
          <w:i/>
        </w:rPr>
        <w:t>In re Lukaszewski</w:t>
      </w:r>
      <w:r w:rsidRPr="00525C3E">
        <w:t>, 414 B.R. 15 (Bankr. D. Conn. 2009).</w:t>
      </w:r>
    </w:p>
    <w:p w:rsidR="00F5296C" w:rsidRPr="00525C3E" w:rsidRDefault="00F5296C" w:rsidP="00123DD9">
      <w:pPr>
        <w:ind w:firstLine="720"/>
      </w:pPr>
    </w:p>
    <w:p w:rsidR="004020E5" w:rsidRPr="00525C3E" w:rsidRDefault="004020E5" w:rsidP="00123DD9">
      <w:pPr>
        <w:ind w:firstLine="720"/>
      </w:pPr>
      <w:r w:rsidRPr="00525C3E">
        <w:rPr>
          <w:i/>
        </w:rPr>
        <w:t>In re Kalata</w:t>
      </w:r>
      <w:r w:rsidR="00BE54A8" w:rsidRPr="00525C3E">
        <w:t xml:space="preserve">, No. 07-21710, 2008 Bankr. LEXIS 512 (Bankr. E.D. Wis. Feb. </w:t>
      </w:r>
      <w:r w:rsidR="00632E23" w:rsidRPr="00525C3E">
        <w:t>27, 2008) (</w:t>
      </w:r>
      <w:r w:rsidR="00BE54A8" w:rsidRPr="00525C3E">
        <w:t>disallowing a deduction for surrendered collateral).</w:t>
      </w:r>
    </w:p>
    <w:p w:rsidR="00BE54A8" w:rsidRPr="00525C3E" w:rsidRDefault="00BE54A8" w:rsidP="00123DD9">
      <w:pPr>
        <w:ind w:firstLine="720"/>
      </w:pPr>
    </w:p>
    <w:p w:rsidR="00BE54A8" w:rsidRPr="00525C3E" w:rsidRDefault="003D2F29" w:rsidP="00123DD9">
      <w:pPr>
        <w:ind w:firstLine="720"/>
      </w:pPr>
      <w:r w:rsidRPr="00525C3E">
        <w:rPr>
          <w:i/>
        </w:rPr>
        <w:t>In re Van Bodegom Smith</w:t>
      </w:r>
      <w:r w:rsidRPr="00525C3E">
        <w:t>, 383 B.R. 441, 452-55 (Bankr. E.D. Wis. 2008)</w:t>
      </w:r>
      <w:r w:rsidRPr="00525C3E">
        <w:fldChar w:fldCharType="begin"/>
      </w:r>
      <w:r w:rsidRPr="00525C3E">
        <w:instrText xml:space="preserve"> TA \l "</w:instrText>
      </w:r>
      <w:r w:rsidRPr="00525C3E">
        <w:rPr>
          <w:i/>
        </w:rPr>
        <w:instrText>In re Van Bodegom Smith</w:instrText>
      </w:r>
      <w:r w:rsidRPr="00525C3E">
        <w:instrText xml:space="preserve">, 383 B.R. 441 (Bankr. E.D. Wis. 2008)" \s "Van Bodegom Smith, 383 B.R." \c 1 </w:instrText>
      </w:r>
      <w:r w:rsidRPr="00525C3E">
        <w:fldChar w:fldCharType="end"/>
      </w:r>
      <w:r w:rsidRPr="00525C3E">
        <w:t xml:space="preserve"> (opining that a permissible debt payment must be “scheduled as contractually due” as of the effective date of the plan, rather than the date of the petition, and is not contractually due if the confirmed plan provides for surrender of the collateral, and because expensing secured debt service for surrendered collateral is inconsistent with the forward or future oriented concepts inherent in statutory requirements to deduct only those amounts “to be expended” and to pay to unsecured creditors under the plan all of a debtor’s “</w:t>
      </w:r>
      <w:r w:rsidRPr="00525C3E">
        <w:rPr>
          <w:b/>
        </w:rPr>
        <w:t>projected</w:t>
      </w:r>
      <w:r w:rsidRPr="00525C3E">
        <w:t xml:space="preserve"> disposable income </w:t>
      </w:r>
      <w:r w:rsidRPr="00525C3E">
        <w:rPr>
          <w:b/>
        </w:rPr>
        <w:t>to be received</w:t>
      </w:r>
      <w:r w:rsidRPr="00525C3E">
        <w:t>”) (emphasis added).</w:t>
      </w:r>
    </w:p>
    <w:p w:rsidR="004020E5" w:rsidRPr="00525C3E" w:rsidRDefault="004020E5" w:rsidP="00123DD9">
      <w:pPr>
        <w:ind w:firstLine="720"/>
        <w:rPr>
          <w:i/>
        </w:rPr>
      </w:pPr>
    </w:p>
    <w:p w:rsidR="009961E2" w:rsidRPr="00525C3E" w:rsidRDefault="00123DD9" w:rsidP="00123DD9">
      <w:pPr>
        <w:ind w:firstLine="720"/>
      </w:pPr>
      <w:r w:rsidRPr="00525C3E">
        <w:rPr>
          <w:i/>
        </w:rPr>
        <w:t>In re McPherson</w:t>
      </w:r>
      <w:r w:rsidRPr="00525C3E">
        <w:t>, 350 B.R. 38, 45-46 (Bankr. W.D. Va. 2006) (opining that because a Chapter 13 plan “constitutes a new agreement between the debtor and each secured creditor</w:t>
      </w:r>
      <w:r w:rsidR="004C21AF" w:rsidRPr="00525C3E">
        <w:t>,”</w:t>
      </w:r>
      <w:r w:rsidRPr="00525C3E">
        <w:t xml:space="preserve"> </w:t>
      </w:r>
      <w:r w:rsidR="00632E23" w:rsidRPr="00525C3E">
        <w:t>and because the “‘</w:t>
      </w:r>
      <w:r w:rsidRPr="00525C3E">
        <w:t>amounts’ referred to in Paragraph 1325(b)(2) are amounts that a debtor will make in the future as provided in the debtor’s plan”…, “[a]ny deduction from income based on a secured claim that no longer exists may not be allowed.”)</w:t>
      </w:r>
      <w:r w:rsidR="00B40F9F" w:rsidRPr="00525C3E">
        <w:t>.</w:t>
      </w:r>
    </w:p>
    <w:p w:rsidR="00EA0B3E" w:rsidRPr="00525C3E" w:rsidRDefault="00EA0B3E" w:rsidP="00123DD9">
      <w:pPr>
        <w:ind w:firstLine="720"/>
      </w:pPr>
    </w:p>
    <w:p w:rsidR="003D2F29" w:rsidRPr="00525C3E" w:rsidRDefault="00EA0B3E" w:rsidP="00123DD9">
      <w:pPr>
        <w:ind w:firstLine="720"/>
        <w:rPr>
          <w:szCs w:val="28"/>
        </w:rPr>
      </w:pPr>
      <w:r w:rsidRPr="00525C3E">
        <w:rPr>
          <w:i/>
          <w:szCs w:val="28"/>
        </w:rPr>
        <w:t>In re Reyes</w:t>
      </w:r>
      <w:r w:rsidR="00FC0AF2" w:rsidRPr="00525C3E">
        <w:rPr>
          <w:szCs w:val="28"/>
        </w:rPr>
        <w:t xml:space="preserve">, No. </w:t>
      </w:r>
      <w:r w:rsidRPr="00525C3E">
        <w:rPr>
          <w:szCs w:val="28"/>
        </w:rPr>
        <w:t xml:space="preserve">08-28740, 2009 Bankr. LEXIS 307 (Bankr. C.D. Cal. Feb. 26, 2009).  </w:t>
      </w:r>
      <w:r w:rsidR="00E51C17" w:rsidRPr="00525C3E">
        <w:rPr>
          <w:szCs w:val="28"/>
        </w:rPr>
        <w:t xml:space="preserve">The majority of courts do not permit debtors to deduct from </w:t>
      </w:r>
      <w:r w:rsidR="008F7B66" w:rsidRPr="00525C3E">
        <w:rPr>
          <w:szCs w:val="28"/>
        </w:rPr>
        <w:t>CMI</w:t>
      </w:r>
      <w:r w:rsidR="00E51C17" w:rsidRPr="00525C3E">
        <w:rPr>
          <w:szCs w:val="28"/>
        </w:rPr>
        <w:t xml:space="preserve"> secured debt payments on real property which they intend to surrender.  In</w:t>
      </w:r>
      <w:r w:rsidR="008C4784" w:rsidRPr="00525C3E">
        <w:rPr>
          <w:szCs w:val="28"/>
        </w:rPr>
        <w:t xml:space="preserve"> </w:t>
      </w:r>
      <w:r w:rsidR="008C4784" w:rsidRPr="00525C3E">
        <w:rPr>
          <w:i/>
          <w:szCs w:val="28"/>
        </w:rPr>
        <w:t>In re Wilkins</w:t>
      </w:r>
      <w:r w:rsidR="00FC0AF2" w:rsidRPr="00525C3E">
        <w:rPr>
          <w:szCs w:val="28"/>
        </w:rPr>
        <w:t>, a C</w:t>
      </w:r>
      <w:r w:rsidR="008C4784" w:rsidRPr="00525C3E">
        <w:rPr>
          <w:szCs w:val="28"/>
        </w:rPr>
        <w:t xml:space="preserve">hapter 7 debtor </w:t>
      </w:r>
      <w:r w:rsidR="00E51C17" w:rsidRPr="00525C3E">
        <w:rPr>
          <w:szCs w:val="28"/>
        </w:rPr>
        <w:t xml:space="preserve">was permitted </w:t>
      </w:r>
      <w:r w:rsidR="008C4784" w:rsidRPr="00525C3E">
        <w:rPr>
          <w:szCs w:val="28"/>
        </w:rPr>
        <w:t>to deduct mortgage payments despite int</w:t>
      </w:r>
      <w:r w:rsidR="00036386" w:rsidRPr="00525C3E">
        <w:rPr>
          <w:szCs w:val="28"/>
        </w:rPr>
        <w:t xml:space="preserve">ent to surrender because those payments were scheduled as contractually due </w:t>
      </w:r>
      <w:r w:rsidR="00036386" w:rsidRPr="00525C3E">
        <w:rPr>
          <w:i/>
          <w:szCs w:val="28"/>
        </w:rPr>
        <w:t>on the date of the petition</w:t>
      </w:r>
      <w:r w:rsidR="00E51C17" w:rsidRPr="00525C3E">
        <w:rPr>
          <w:szCs w:val="28"/>
        </w:rPr>
        <w:t xml:space="preserve">.  </w:t>
      </w:r>
      <w:r w:rsidR="00E51C17" w:rsidRPr="00525C3E">
        <w:rPr>
          <w:i/>
          <w:szCs w:val="28"/>
        </w:rPr>
        <w:t xml:space="preserve">Wilkins </w:t>
      </w:r>
      <w:r w:rsidR="00E51C17" w:rsidRPr="00525C3E">
        <w:rPr>
          <w:szCs w:val="28"/>
        </w:rPr>
        <w:t>is distinguishable</w:t>
      </w:r>
      <w:r w:rsidR="00FC0AF2" w:rsidRPr="00525C3E">
        <w:rPr>
          <w:szCs w:val="28"/>
        </w:rPr>
        <w:t xml:space="preserve"> from a C</w:t>
      </w:r>
      <w:r w:rsidR="00036386" w:rsidRPr="00525C3E">
        <w:rPr>
          <w:szCs w:val="28"/>
        </w:rPr>
        <w:t xml:space="preserve">hapter 13, where the court must make a determination of whether the debtor is committing all projected disposable income </w:t>
      </w:r>
      <w:r w:rsidR="00036386" w:rsidRPr="00525C3E">
        <w:rPr>
          <w:i/>
          <w:szCs w:val="28"/>
        </w:rPr>
        <w:t>as of the effective date of the plan</w:t>
      </w:r>
      <w:r w:rsidR="00036386" w:rsidRPr="00525C3E">
        <w:rPr>
          <w:szCs w:val="28"/>
        </w:rPr>
        <w:t>.</w:t>
      </w:r>
      <w:r w:rsidR="00E51C17" w:rsidRPr="00525C3E">
        <w:rPr>
          <w:szCs w:val="28"/>
        </w:rPr>
        <w:t xml:space="preserve">  Furthermore, the plan creates a new contract between the debtor and secured creditor, such that no payments are scheduled as contractually</w:t>
      </w:r>
      <w:r w:rsidR="003D0E01" w:rsidRPr="00525C3E">
        <w:rPr>
          <w:szCs w:val="28"/>
        </w:rPr>
        <w:t xml:space="preserve"> due</w:t>
      </w:r>
      <w:r w:rsidR="00E51C17" w:rsidRPr="00525C3E">
        <w:rPr>
          <w:szCs w:val="28"/>
        </w:rPr>
        <w:t xml:space="preserve"> if the plan proposes surrender.  Also, the approach avoids disparate treatment of below median and above median debtors surrendering real property.  </w:t>
      </w:r>
      <w:r w:rsidR="003D0E01" w:rsidRPr="00525C3E">
        <w:rPr>
          <w:szCs w:val="28"/>
        </w:rPr>
        <w:t>For the same reasons</w:t>
      </w:r>
      <w:r w:rsidR="00E51C17" w:rsidRPr="00525C3E">
        <w:rPr>
          <w:szCs w:val="28"/>
        </w:rPr>
        <w:t>, the court would not permit debtors to deduct secured debt payments attributable to a junior lien to be stripped down in the plan.</w:t>
      </w:r>
    </w:p>
    <w:p w:rsidR="00EA0B3E" w:rsidRPr="00525C3E" w:rsidRDefault="00EA0B3E" w:rsidP="00123DD9">
      <w:pPr>
        <w:ind w:firstLine="720"/>
      </w:pPr>
    </w:p>
    <w:p w:rsidR="00C72938" w:rsidRPr="00525C3E" w:rsidRDefault="007D73E8" w:rsidP="007D73E8">
      <w:pPr>
        <w:ind w:left="2160"/>
        <w:rPr>
          <w:b/>
        </w:rPr>
      </w:pPr>
      <w:r w:rsidRPr="00525C3E">
        <w:rPr>
          <w:b/>
        </w:rPr>
        <w:t>b.</w:t>
      </w:r>
      <w:r w:rsidRPr="00525C3E">
        <w:rPr>
          <w:b/>
        </w:rPr>
        <w:tab/>
      </w:r>
      <w:r w:rsidRPr="00525C3E">
        <w:rPr>
          <w:b/>
          <w:u w:val="single"/>
        </w:rPr>
        <w:t>May E</w:t>
      </w:r>
      <w:r w:rsidR="00C72938" w:rsidRPr="00525C3E">
        <w:rPr>
          <w:b/>
          <w:u w:val="single"/>
        </w:rPr>
        <w:t>xpense</w:t>
      </w:r>
    </w:p>
    <w:p w:rsidR="0080688C" w:rsidRPr="00525C3E" w:rsidRDefault="0080688C" w:rsidP="00C72938">
      <w:pPr>
        <w:jc w:val="center"/>
        <w:rPr>
          <w:b/>
        </w:rPr>
      </w:pPr>
    </w:p>
    <w:p w:rsidR="00675E05" w:rsidRPr="00525C3E" w:rsidRDefault="00675E05" w:rsidP="00095CE9">
      <w:pPr>
        <w:ind w:firstLine="720"/>
      </w:pPr>
      <w:r w:rsidRPr="00525C3E">
        <w:rPr>
          <w:i/>
        </w:rPr>
        <w:t>In re Rudler</w:t>
      </w:r>
      <w:r w:rsidRPr="00525C3E">
        <w:t>, 388 B.R. 433 (B.A.P. 1st Cir. 2008) (permitting deduction of payments due to secured creditors when debtor intends to surrender collateral).</w:t>
      </w:r>
    </w:p>
    <w:p w:rsidR="00675E05" w:rsidRPr="00525C3E" w:rsidRDefault="00675E05" w:rsidP="00095CE9">
      <w:pPr>
        <w:ind w:firstLine="720"/>
        <w:rPr>
          <w:i/>
        </w:rPr>
      </w:pPr>
    </w:p>
    <w:p w:rsidR="00675E05" w:rsidRPr="00525C3E" w:rsidRDefault="00675E05" w:rsidP="00095CE9">
      <w:pPr>
        <w:ind w:firstLine="720"/>
      </w:pPr>
      <w:r w:rsidRPr="00525C3E">
        <w:rPr>
          <w:i/>
        </w:rPr>
        <w:t>In re Quigley</w:t>
      </w:r>
      <w:r w:rsidRPr="00525C3E">
        <w:t>, (unpub.) No. 5:08-CV126 (N.D.W.V. Aug. 27, 2009)</w:t>
      </w:r>
      <w:r w:rsidR="00F85E61" w:rsidRPr="00525C3E">
        <w:t xml:space="preserve"> (allowing continued secured debt deduction for collateral being surrendered)</w:t>
      </w:r>
      <w:r w:rsidR="00E64456" w:rsidRPr="00525C3E">
        <w:t xml:space="preserve">, </w:t>
      </w:r>
      <w:r w:rsidR="00E64456" w:rsidRPr="00525C3E">
        <w:rPr>
          <w:i/>
        </w:rPr>
        <w:t>appeal filed</w:t>
      </w:r>
      <w:r w:rsidR="00F85E61" w:rsidRPr="00525C3E">
        <w:t>.</w:t>
      </w:r>
    </w:p>
    <w:p w:rsidR="00675E05" w:rsidRPr="00525C3E" w:rsidRDefault="00675E05" w:rsidP="00095CE9">
      <w:pPr>
        <w:ind w:firstLine="720"/>
        <w:rPr>
          <w:i/>
        </w:rPr>
      </w:pPr>
    </w:p>
    <w:p w:rsidR="001C5C43" w:rsidRPr="00525C3E" w:rsidRDefault="001C5C43" w:rsidP="00095CE9">
      <w:pPr>
        <w:ind w:firstLine="720"/>
        <w:rPr>
          <w:i/>
        </w:rPr>
      </w:pPr>
      <w:r w:rsidRPr="00525C3E">
        <w:rPr>
          <w:i/>
        </w:rPr>
        <w:t>Hildebrand v. Thomas</w:t>
      </w:r>
      <w:r w:rsidRPr="00525C3E">
        <w:t>, 395 B.R. 914 (B.A.P. 6th Cir. 2008) (holding that debtor may expense the cost of debt service for collateral intended for surrender).</w:t>
      </w:r>
    </w:p>
    <w:p w:rsidR="001C5C43" w:rsidRPr="00525C3E" w:rsidRDefault="001C5C43" w:rsidP="00095CE9">
      <w:pPr>
        <w:ind w:firstLine="720"/>
        <w:rPr>
          <w:i/>
        </w:rPr>
      </w:pPr>
    </w:p>
    <w:p w:rsidR="00095CE9" w:rsidRPr="00525C3E" w:rsidRDefault="00095CE9" w:rsidP="00095CE9">
      <w:pPr>
        <w:ind w:firstLine="720"/>
      </w:pPr>
      <w:r w:rsidRPr="00525C3E">
        <w:rPr>
          <w:i/>
        </w:rPr>
        <w:lastRenderedPageBreak/>
        <w:t>Fokkena v. Hartwick</w:t>
      </w:r>
      <w:r w:rsidRPr="00525C3E">
        <w:t>, 373 B.R. 645 (D. Minn. 2007) (affirming a bankruptcy court’s order that a Chapter 7 debtor may expense secured debt payments for property intended for surrender).</w:t>
      </w:r>
    </w:p>
    <w:p w:rsidR="00095CE9" w:rsidRPr="00525C3E" w:rsidRDefault="00095CE9" w:rsidP="00095CE9">
      <w:pPr>
        <w:ind w:firstLine="720"/>
      </w:pPr>
    </w:p>
    <w:p w:rsidR="00095CE9" w:rsidRPr="00525C3E" w:rsidRDefault="00095CE9" w:rsidP="00095CE9">
      <w:pPr>
        <w:ind w:firstLine="720"/>
      </w:pPr>
      <w:r w:rsidRPr="00525C3E">
        <w:rPr>
          <w:i/>
        </w:rPr>
        <w:t>Randle v. Neary</w:t>
      </w:r>
      <w:r w:rsidRPr="00525C3E">
        <w:t xml:space="preserve"> (</w:t>
      </w:r>
      <w:r w:rsidRPr="00525C3E">
        <w:rPr>
          <w:i/>
        </w:rPr>
        <w:t>In re Randle</w:t>
      </w:r>
      <w:r w:rsidRPr="00525C3E">
        <w:t>), No. 07 C 631, 2007 U.S. Dist. LEXIS 54985 (N.D. Ill. July 20, 2007) (holding that the plain language of the Code allows the expensing of property intended for surrender and that a debtor’s statement of intention does not extinguish her contractual obligation).</w:t>
      </w:r>
    </w:p>
    <w:p w:rsidR="000A4BCA" w:rsidRPr="00525C3E" w:rsidRDefault="000A4BCA" w:rsidP="00123DD9">
      <w:pPr>
        <w:ind w:firstLine="720"/>
      </w:pPr>
    </w:p>
    <w:p w:rsidR="003D2F29" w:rsidRPr="00525C3E" w:rsidRDefault="001B3FCD" w:rsidP="00123DD9">
      <w:pPr>
        <w:ind w:firstLine="720"/>
        <w:rPr>
          <w:szCs w:val="28"/>
        </w:rPr>
      </w:pPr>
      <w:r w:rsidRPr="00525C3E">
        <w:rPr>
          <w:i/>
          <w:szCs w:val="28"/>
        </w:rPr>
        <w:t>In re Burmeister</w:t>
      </w:r>
      <w:r w:rsidRPr="00525C3E">
        <w:rPr>
          <w:szCs w:val="28"/>
        </w:rPr>
        <w:t xml:space="preserve">, 378 B.R. 227, 229-30 (Bankr. N.D. Ill. 2007) (opining that 11 U.S.C. </w:t>
      </w:r>
      <w:r w:rsidR="00632E23" w:rsidRPr="00525C3E">
        <w:rPr>
          <w:szCs w:val="28"/>
        </w:rPr>
        <w:t xml:space="preserve">§ </w:t>
      </w:r>
      <w:r w:rsidRPr="00525C3E">
        <w:rPr>
          <w:szCs w:val="28"/>
        </w:rPr>
        <w:t>707(b)(2)(A) permits, even compels, deduction of mortgage payment for surrendered property because such payment was contractually due when petition was filed).</w:t>
      </w:r>
    </w:p>
    <w:p w:rsidR="00886C68" w:rsidRPr="00525C3E" w:rsidRDefault="00132C70" w:rsidP="00D975CD">
      <w:pPr>
        <w:pStyle w:val="Heading3"/>
        <w:numPr>
          <w:ilvl w:val="0"/>
          <w:numId w:val="13"/>
        </w:numPr>
        <w:rPr>
          <w:rFonts w:ascii="Times New Roman" w:hAnsi="Times New Roman" w:cs="Times New Roman"/>
          <w:sz w:val="24"/>
          <w:szCs w:val="24"/>
        </w:rPr>
      </w:pPr>
      <w:r w:rsidRPr="00525C3E">
        <w:rPr>
          <w:rFonts w:ascii="Times New Roman" w:hAnsi="Times New Roman" w:cs="Times New Roman"/>
          <w:sz w:val="24"/>
          <w:szCs w:val="24"/>
        </w:rPr>
        <w:t>Special Circumstances</w:t>
      </w:r>
    </w:p>
    <w:p w:rsidR="00132C70" w:rsidRPr="00525C3E" w:rsidRDefault="00132C70" w:rsidP="00040F20">
      <w:pPr>
        <w:ind w:firstLine="720"/>
        <w:rPr>
          <w:szCs w:val="28"/>
        </w:rPr>
      </w:pPr>
    </w:p>
    <w:p w:rsidR="00132C70" w:rsidRPr="00525C3E" w:rsidRDefault="005D77B5" w:rsidP="00132C70">
      <w:pPr>
        <w:ind w:firstLine="720"/>
        <w:rPr>
          <w:szCs w:val="28"/>
        </w:rPr>
      </w:pPr>
      <w:r w:rsidRPr="00525C3E">
        <w:rPr>
          <w:szCs w:val="28"/>
        </w:rPr>
        <w:t>Limits on expenses</w:t>
      </w:r>
      <w:r w:rsidR="00DE31AE" w:rsidRPr="00525C3E">
        <w:rPr>
          <w:szCs w:val="28"/>
        </w:rPr>
        <w:t xml:space="preserve"> may be rebutted by demonstrating special circumstances</w:t>
      </w:r>
      <w:r w:rsidRPr="00525C3E">
        <w:rPr>
          <w:szCs w:val="28"/>
        </w:rPr>
        <w:t xml:space="preserve"> pursuant to 11 U.S.C. § 707(b)(2)(B)</w:t>
      </w:r>
      <w:r w:rsidR="00DE31AE" w:rsidRPr="00525C3E">
        <w:rPr>
          <w:szCs w:val="28"/>
        </w:rPr>
        <w:t>.</w:t>
      </w:r>
      <w:r w:rsidR="00330D94" w:rsidRPr="00525C3E">
        <w:rPr>
          <w:szCs w:val="28"/>
        </w:rPr>
        <w:t xml:space="preserve"> </w:t>
      </w:r>
      <w:r w:rsidR="00AA1651" w:rsidRPr="00525C3E">
        <w:rPr>
          <w:szCs w:val="28"/>
        </w:rPr>
        <w:t>M</w:t>
      </w:r>
      <w:r w:rsidR="000868EF" w:rsidRPr="00525C3E">
        <w:rPr>
          <w:szCs w:val="28"/>
        </w:rPr>
        <w:t>any</w:t>
      </w:r>
      <w:r w:rsidR="00AA1651" w:rsidRPr="00525C3E">
        <w:rPr>
          <w:szCs w:val="28"/>
        </w:rPr>
        <w:t xml:space="preserve"> courts find the statutory examples to be a non-inclusive list, and set a fairly high bar for a successful showing</w:t>
      </w:r>
      <w:r w:rsidR="009C4601" w:rsidRPr="00525C3E">
        <w:rPr>
          <w:szCs w:val="28"/>
        </w:rPr>
        <w:t xml:space="preserve"> (“extraordinary”); others are less demanding</w:t>
      </w:r>
      <w:r w:rsidR="00267963" w:rsidRPr="00525C3E">
        <w:rPr>
          <w:szCs w:val="28"/>
        </w:rPr>
        <w:t xml:space="preserve"> (“special”)</w:t>
      </w:r>
      <w:r w:rsidR="00AA1651" w:rsidRPr="00525C3E">
        <w:rPr>
          <w:szCs w:val="28"/>
        </w:rPr>
        <w:t>.</w:t>
      </w:r>
      <w:r w:rsidR="00330D94" w:rsidRPr="00525C3E">
        <w:rPr>
          <w:szCs w:val="28"/>
        </w:rPr>
        <w:t xml:space="preserve"> </w:t>
      </w:r>
      <w:r w:rsidR="0011095A" w:rsidRPr="00525C3E">
        <w:rPr>
          <w:i/>
          <w:szCs w:val="28"/>
        </w:rPr>
        <w:t>In re Fonash</w:t>
      </w:r>
      <w:r w:rsidR="007A6847" w:rsidRPr="00525C3E">
        <w:rPr>
          <w:szCs w:val="28"/>
        </w:rPr>
        <w:t xml:space="preserve">, </w:t>
      </w:r>
      <w:r w:rsidR="00AE4895" w:rsidRPr="00525C3E">
        <w:rPr>
          <w:szCs w:val="28"/>
        </w:rPr>
        <w:t>No</w:t>
      </w:r>
      <w:r w:rsidR="007A6847" w:rsidRPr="00525C3E">
        <w:rPr>
          <w:szCs w:val="28"/>
        </w:rPr>
        <w:t>. 1:08-bk-01856MDF, 2008 Bankr. LEXIS 3378 (Bankr. M.D. Pa. Dec. 12, 2008).</w:t>
      </w:r>
    </w:p>
    <w:p w:rsidR="00423875" w:rsidRPr="00525C3E" w:rsidRDefault="00423875" w:rsidP="00F25702">
      <w:pPr>
        <w:ind w:firstLine="720"/>
        <w:rPr>
          <w:szCs w:val="28"/>
        </w:rPr>
      </w:pPr>
    </w:p>
    <w:p w:rsidR="00275D9D" w:rsidRPr="00525C3E" w:rsidRDefault="00BE7540" w:rsidP="00F25702">
      <w:pPr>
        <w:ind w:firstLine="720"/>
        <w:rPr>
          <w:szCs w:val="28"/>
        </w:rPr>
      </w:pPr>
      <w:r w:rsidRPr="00525C3E">
        <w:rPr>
          <w:szCs w:val="28"/>
        </w:rPr>
        <w:t xml:space="preserve">In </w:t>
      </w:r>
      <w:r w:rsidR="00275D9D" w:rsidRPr="00525C3E">
        <w:rPr>
          <w:i/>
          <w:szCs w:val="28"/>
        </w:rPr>
        <w:t>In re Templ</w:t>
      </w:r>
      <w:r w:rsidR="00993570" w:rsidRPr="00525C3E">
        <w:rPr>
          <w:i/>
          <w:szCs w:val="28"/>
        </w:rPr>
        <w:t>e</w:t>
      </w:r>
      <w:r w:rsidR="00275D9D" w:rsidRPr="00525C3E">
        <w:rPr>
          <w:i/>
          <w:szCs w:val="28"/>
        </w:rPr>
        <w:t>ton</w:t>
      </w:r>
      <w:r w:rsidR="00275D9D" w:rsidRPr="00525C3E">
        <w:rPr>
          <w:szCs w:val="28"/>
        </w:rPr>
        <w:t>, 365 B.R. 213 (Bankr. W.D. Okla. 2007)</w:t>
      </w:r>
      <w:r w:rsidRPr="00525C3E">
        <w:rPr>
          <w:szCs w:val="28"/>
        </w:rPr>
        <w:t xml:space="preserve">, the court </w:t>
      </w:r>
      <w:r w:rsidR="00275D9D" w:rsidRPr="00525C3E">
        <w:rPr>
          <w:szCs w:val="28"/>
        </w:rPr>
        <w:t>opin</w:t>
      </w:r>
      <w:r w:rsidRPr="00525C3E">
        <w:rPr>
          <w:szCs w:val="28"/>
        </w:rPr>
        <w:t>ed</w:t>
      </w:r>
      <w:r w:rsidR="00275D9D" w:rsidRPr="00525C3E">
        <w:rPr>
          <w:szCs w:val="28"/>
        </w:rPr>
        <w:t xml:space="preserve"> that “special circumstances” is </w:t>
      </w:r>
      <w:bookmarkStart w:id="3" w:name="clsccl3"/>
      <w:bookmarkEnd w:id="3"/>
      <w:r w:rsidR="00275D9D" w:rsidRPr="00525C3E">
        <w:rPr>
          <w:szCs w:val="28"/>
        </w:rPr>
        <w:t>a fact-specific consideration, wherein a court retains broad discretion in making such a determination, that the examples listed in 11 U.S.C. § 707(b)(2)(B) -- a medical condition and military service -- are not exhaustive, but are merely examples where Congress found there to be special circumstance “for which there is no reasonable alternative</w:t>
      </w:r>
      <w:r w:rsidR="004C21AF" w:rsidRPr="00525C3E">
        <w:rPr>
          <w:szCs w:val="28"/>
        </w:rPr>
        <w:t>,”</w:t>
      </w:r>
      <w:r w:rsidR="00275D9D" w:rsidRPr="00525C3E">
        <w:rPr>
          <w:szCs w:val="28"/>
        </w:rPr>
        <w:t xml:space="preserve"> that the language of the statute clearly requires a debtor to present documentation for each additional expense and attest under oath to its accuracy, and provide a detailed explanation.</w:t>
      </w:r>
    </w:p>
    <w:p w:rsidR="00275D9D" w:rsidRPr="00525C3E" w:rsidRDefault="00275D9D" w:rsidP="00F25702">
      <w:pPr>
        <w:ind w:firstLine="720"/>
        <w:rPr>
          <w:szCs w:val="28"/>
        </w:rPr>
      </w:pPr>
    </w:p>
    <w:p w:rsidR="000868EF" w:rsidRPr="00525C3E" w:rsidRDefault="00BE7540" w:rsidP="00F25702">
      <w:pPr>
        <w:ind w:firstLine="720"/>
        <w:rPr>
          <w:szCs w:val="28"/>
        </w:rPr>
      </w:pPr>
      <w:r w:rsidRPr="00525C3E">
        <w:rPr>
          <w:i/>
          <w:szCs w:val="28"/>
        </w:rPr>
        <w:t xml:space="preserve">See </w:t>
      </w:r>
      <w:r w:rsidR="000D04C8" w:rsidRPr="00525C3E">
        <w:rPr>
          <w:i/>
          <w:szCs w:val="28"/>
        </w:rPr>
        <w:t>In re Zahringer</w:t>
      </w:r>
      <w:r w:rsidR="000D04C8" w:rsidRPr="00525C3E">
        <w:rPr>
          <w:szCs w:val="28"/>
        </w:rPr>
        <w:t>, No. 07-30217, 2008 Bankr. LEXIS 1770 (Bankr. E.D. Wis. May 30, 2008) (sustaining a trustee’s objection to confirmation and denying a debtor’s resort to “special circumstances” for his plan’s impermissible treatment of student loans because he failed to meet the statute’s high bar for special circumstances and because he failed to show no reas</w:t>
      </w:r>
      <w:r w:rsidRPr="00525C3E">
        <w:rPr>
          <w:szCs w:val="28"/>
        </w:rPr>
        <w:t xml:space="preserve">onable alternative); </w:t>
      </w:r>
      <w:r w:rsidR="007A6847" w:rsidRPr="00525C3E">
        <w:rPr>
          <w:i/>
          <w:szCs w:val="28"/>
        </w:rPr>
        <w:t>In re Champagne</w:t>
      </w:r>
      <w:r w:rsidR="007A6847" w:rsidRPr="00525C3E">
        <w:rPr>
          <w:szCs w:val="28"/>
        </w:rPr>
        <w:t>, 389 B.R. 191 (Bankr. D. Kan. 2008) (“The burden to establish special circumstances was not set particularly high, making the presumption truly rebuttable. The standard for amendment is special, not extraordinary, circumstances.”)</w:t>
      </w:r>
      <w:r w:rsidRPr="00525C3E">
        <w:rPr>
          <w:szCs w:val="28"/>
        </w:rPr>
        <w:t xml:space="preserve">; </w:t>
      </w:r>
      <w:r w:rsidR="000868EF" w:rsidRPr="00525C3E">
        <w:rPr>
          <w:i/>
          <w:szCs w:val="28"/>
        </w:rPr>
        <w:t>In re Demonica</w:t>
      </w:r>
      <w:r w:rsidR="000868EF" w:rsidRPr="00525C3E">
        <w:rPr>
          <w:szCs w:val="28"/>
        </w:rPr>
        <w:t>, 345 B.R. 895, 903-04 (Bankr. N.D. Ill. 2006)</w:t>
      </w:r>
      <w:r w:rsidRPr="00525C3E">
        <w:rPr>
          <w:szCs w:val="28"/>
        </w:rPr>
        <w:t xml:space="preserve">; </w:t>
      </w:r>
      <w:r w:rsidR="004E7855" w:rsidRPr="00525C3E">
        <w:rPr>
          <w:i/>
          <w:szCs w:val="28"/>
        </w:rPr>
        <w:t>In re Crego</w:t>
      </w:r>
      <w:r w:rsidR="004E7855" w:rsidRPr="00525C3E">
        <w:rPr>
          <w:szCs w:val="28"/>
        </w:rPr>
        <w:t>, 387 B.R. 225</w:t>
      </w:r>
      <w:r w:rsidR="008934DB" w:rsidRPr="00525C3E">
        <w:rPr>
          <w:szCs w:val="28"/>
        </w:rPr>
        <w:t>, 227-30 (Bankr. E.D. Wis. 2008) (finding that the maintenance of a separate household due to divorce or legal separation constitutes a special circumstance, but opining that the expenses associated therewith must be reasonable and may not exceed th</w:t>
      </w:r>
      <w:r w:rsidRPr="00525C3E">
        <w:rPr>
          <w:szCs w:val="28"/>
        </w:rPr>
        <w:t xml:space="preserve">e National and Local Standards); </w:t>
      </w:r>
      <w:r w:rsidR="00227AD0" w:rsidRPr="00525C3E">
        <w:rPr>
          <w:i/>
          <w:szCs w:val="28"/>
        </w:rPr>
        <w:t>In re Delbecq</w:t>
      </w:r>
      <w:r w:rsidR="00227AD0" w:rsidRPr="00525C3E">
        <w:rPr>
          <w:szCs w:val="28"/>
        </w:rPr>
        <w:t>, 368 B.R. 754 (Bankr. S.D. Ind. 2007) (</w:t>
      </w:r>
      <w:r w:rsidR="00A44027" w:rsidRPr="00525C3E">
        <w:rPr>
          <w:szCs w:val="28"/>
        </w:rPr>
        <w:t xml:space="preserve">finding, </w:t>
      </w:r>
      <w:r w:rsidR="00227AD0" w:rsidRPr="00525C3E">
        <w:rPr>
          <w:szCs w:val="28"/>
        </w:rPr>
        <w:t>in the matter of a U.S. Trustee’s motion to dismiss a Chapter 7 petition</w:t>
      </w:r>
      <w:r w:rsidR="00A44027" w:rsidRPr="00525C3E">
        <w:rPr>
          <w:szCs w:val="28"/>
        </w:rPr>
        <w:t>, that the debtor lacked any reasonable alternative, but opining that the statute’s examples of special circumstances are not intended to serve as a benchmark</w:t>
      </w:r>
      <w:r w:rsidR="000868EF" w:rsidRPr="00525C3E">
        <w:rPr>
          <w:szCs w:val="28"/>
        </w:rPr>
        <w:fldChar w:fldCharType="begin"/>
      </w:r>
      <w:r w:rsidR="000868EF" w:rsidRPr="00525C3E">
        <w:rPr>
          <w:szCs w:val="28"/>
        </w:rPr>
        <w:instrText xml:space="preserve"> TA \l "</w:instrText>
      </w:r>
      <w:r w:rsidR="000868EF" w:rsidRPr="00525C3E">
        <w:rPr>
          <w:i/>
          <w:szCs w:val="28"/>
        </w:rPr>
        <w:instrText>In re Demonica</w:instrText>
      </w:r>
      <w:r w:rsidR="000868EF" w:rsidRPr="00525C3E">
        <w:rPr>
          <w:szCs w:val="28"/>
        </w:rPr>
        <w:instrText xml:space="preserve">, 345 B.R. 895 (Bankr. N.D. Ill. 2006)" \s "Demonica, 345 B.R." \c 1 </w:instrText>
      </w:r>
      <w:r w:rsidR="000868EF" w:rsidRPr="00525C3E">
        <w:rPr>
          <w:szCs w:val="28"/>
        </w:rPr>
        <w:fldChar w:fldCharType="end"/>
      </w:r>
      <w:r w:rsidR="00A44027" w:rsidRPr="00525C3E">
        <w:rPr>
          <w:szCs w:val="28"/>
        </w:rPr>
        <w:t xml:space="preserve"> therefor).</w:t>
      </w:r>
    </w:p>
    <w:p w:rsidR="00881A64" w:rsidRPr="00525C3E" w:rsidRDefault="00881A64" w:rsidP="00F25702">
      <w:pPr>
        <w:ind w:firstLine="720"/>
        <w:rPr>
          <w:szCs w:val="28"/>
        </w:rPr>
      </w:pPr>
    </w:p>
    <w:p w:rsidR="00456970" w:rsidRPr="00525C3E" w:rsidRDefault="00BE7540" w:rsidP="004475CE">
      <w:pPr>
        <w:ind w:firstLine="720"/>
        <w:rPr>
          <w:iCs/>
        </w:rPr>
      </w:pPr>
      <w:r w:rsidRPr="00525C3E">
        <w:rPr>
          <w:i/>
          <w:szCs w:val="28"/>
        </w:rPr>
        <w:t xml:space="preserve">See also </w:t>
      </w:r>
      <w:r w:rsidR="00110299" w:rsidRPr="00525C3E">
        <w:rPr>
          <w:i/>
          <w:szCs w:val="28"/>
        </w:rPr>
        <w:t>In re Cotto</w:t>
      </w:r>
      <w:r w:rsidR="00110299" w:rsidRPr="00525C3E">
        <w:rPr>
          <w:szCs w:val="28"/>
        </w:rPr>
        <w:t xml:space="preserve">, No. 09-43772, 2010 Bankr. LEXIS 596 (Bankr. E.D.N.Y. March 12, 2010) (non-recurring wage settlement income is not special circumstance because </w:t>
      </w:r>
      <w:r w:rsidR="0035520B" w:rsidRPr="00525C3E">
        <w:rPr>
          <w:szCs w:val="28"/>
        </w:rPr>
        <w:t xml:space="preserve">of </w:t>
      </w:r>
      <w:r w:rsidR="00110299" w:rsidRPr="00525C3E">
        <w:rPr>
          <w:szCs w:val="28"/>
        </w:rPr>
        <w:t xml:space="preserve">clear </w:t>
      </w:r>
      <w:r w:rsidR="00110299" w:rsidRPr="00525C3E">
        <w:rPr>
          <w:szCs w:val="28"/>
        </w:rPr>
        <w:lastRenderedPageBreak/>
        <w:t>congressional directive to include income from all sources in current monthly income);</w:t>
      </w:r>
      <w:r w:rsidR="00110299" w:rsidRPr="00525C3E">
        <w:rPr>
          <w:i/>
          <w:szCs w:val="28"/>
        </w:rPr>
        <w:t xml:space="preserve"> </w:t>
      </w:r>
      <w:r w:rsidR="00881A64" w:rsidRPr="00525C3E">
        <w:rPr>
          <w:i/>
          <w:szCs w:val="28"/>
        </w:rPr>
        <w:t>In re Smith</w:t>
      </w:r>
      <w:r w:rsidR="00881A64" w:rsidRPr="00525C3E">
        <w:rPr>
          <w:szCs w:val="28"/>
        </w:rPr>
        <w:t>, 388 B.R. 885, 888 (Bankr. C.D. Ill. June 20, 2008) (finding that a Chapter 7 petitioner failed to rebut the presumption of abuse and opining that repayment of a 401(k) loan was not a life circumstance “that directly and unavoidably affect[ed] one’s earning capacity or g[a]ve rise to necessary, additional expenses</w:t>
      </w:r>
      <w:r w:rsidR="004C21AF" w:rsidRPr="00525C3E">
        <w:rPr>
          <w:szCs w:val="28"/>
        </w:rPr>
        <w:t>,”</w:t>
      </w:r>
      <w:r w:rsidR="00881A64" w:rsidRPr="00525C3E">
        <w:rPr>
          <w:szCs w:val="28"/>
        </w:rPr>
        <w:t xml:space="preserve"> these being the indi</w:t>
      </w:r>
      <w:r w:rsidRPr="00525C3E">
        <w:rPr>
          <w:szCs w:val="28"/>
        </w:rPr>
        <w:t xml:space="preserve">cia of “special circumstances”); </w:t>
      </w:r>
      <w:r w:rsidR="005F1039" w:rsidRPr="00525C3E">
        <w:rPr>
          <w:i/>
        </w:rPr>
        <w:t>In re Renicker</w:t>
      </w:r>
      <w:r w:rsidR="005F1039" w:rsidRPr="00525C3E">
        <w:t>, 342 B.R. 304 (Bankr. W.D. Mo. 2006) (</w:t>
      </w:r>
      <w:r w:rsidR="005F1039" w:rsidRPr="00525C3E">
        <w:rPr>
          <w:bCs/>
        </w:rPr>
        <w:t xml:space="preserve">debtor must justify excess expenses by documentation and detailed explanation </w:t>
      </w:r>
      <w:r w:rsidR="00AA1651" w:rsidRPr="00525C3E">
        <w:rPr>
          <w:bCs/>
        </w:rPr>
        <w:t>of special</w:t>
      </w:r>
      <w:r w:rsidR="005F1039" w:rsidRPr="00525C3E">
        <w:rPr>
          <w:bCs/>
        </w:rPr>
        <w:t xml:space="preserve"> circumstances showing the adjustment to be reasonable and necessary.)</w:t>
      </w:r>
      <w:r w:rsidRPr="00525C3E">
        <w:rPr>
          <w:bCs/>
        </w:rPr>
        <w:t xml:space="preserve">; </w:t>
      </w:r>
      <w:r w:rsidR="002C79E6" w:rsidRPr="00525C3E">
        <w:rPr>
          <w:i/>
          <w:szCs w:val="28"/>
        </w:rPr>
        <w:t xml:space="preserve">In </w:t>
      </w:r>
      <w:r w:rsidR="004475CE" w:rsidRPr="00525C3E">
        <w:rPr>
          <w:i/>
          <w:szCs w:val="28"/>
        </w:rPr>
        <w:t>r</w:t>
      </w:r>
      <w:r w:rsidR="002C79E6" w:rsidRPr="00525C3E">
        <w:rPr>
          <w:i/>
          <w:szCs w:val="28"/>
        </w:rPr>
        <w:t>e Armstrong</w:t>
      </w:r>
      <w:r w:rsidR="002C79E6" w:rsidRPr="00525C3E">
        <w:rPr>
          <w:szCs w:val="28"/>
        </w:rPr>
        <w:t>, No. 06-31414, 2007 Bankr. LEXIS 1812 (Ban</w:t>
      </w:r>
      <w:r w:rsidR="00785CEA" w:rsidRPr="00525C3E">
        <w:rPr>
          <w:szCs w:val="28"/>
        </w:rPr>
        <w:t>kr. N.D. Ohio May 24, 2007) (a C</w:t>
      </w:r>
      <w:r w:rsidR="002C79E6" w:rsidRPr="00525C3E">
        <w:rPr>
          <w:szCs w:val="28"/>
        </w:rPr>
        <w:t xml:space="preserve">hapter 7 case, court </w:t>
      </w:r>
      <w:r w:rsidR="002C79E6" w:rsidRPr="00525C3E">
        <w:rPr>
          <w:iCs/>
        </w:rPr>
        <w:t>finding that special circumstance, as contemplated in 11 U.S.C. § 707(b)(2)(B), is one that is out of the ordinary for an average family and leaves the debtor with no reasonable alternative but to incur the expense.)</w:t>
      </w:r>
      <w:r w:rsidRPr="00525C3E">
        <w:rPr>
          <w:iCs/>
        </w:rPr>
        <w:t xml:space="preserve">; </w:t>
      </w:r>
      <w:r w:rsidR="004475CE" w:rsidRPr="00525C3E">
        <w:rPr>
          <w:i/>
          <w:szCs w:val="28"/>
        </w:rPr>
        <w:t>Eisen v. Thompson</w:t>
      </w:r>
      <w:r w:rsidR="004475CE" w:rsidRPr="00525C3E">
        <w:rPr>
          <w:szCs w:val="28"/>
        </w:rPr>
        <w:t>, 370 B.R. 762 (N.D. Ohio 2007)</w:t>
      </w:r>
      <w:r w:rsidR="00493E7A" w:rsidRPr="00525C3E">
        <w:rPr>
          <w:szCs w:val="28"/>
        </w:rPr>
        <w:t xml:space="preserve"> (debtor must </w:t>
      </w:r>
      <w:r w:rsidR="00493E7A" w:rsidRPr="00525C3E">
        <w:rPr>
          <w:iCs/>
        </w:rPr>
        <w:t>itemize, document, and provide detailed explanation of special circumstances in order to show such an expense is reasonable and necessary.)</w:t>
      </w:r>
      <w:r w:rsidRPr="00525C3E">
        <w:rPr>
          <w:iCs/>
        </w:rPr>
        <w:t xml:space="preserve">; </w:t>
      </w:r>
      <w:r w:rsidR="00456970" w:rsidRPr="00525C3E">
        <w:rPr>
          <w:i/>
          <w:iCs/>
        </w:rPr>
        <w:t>In re Witek</w:t>
      </w:r>
      <w:r w:rsidR="00456970" w:rsidRPr="00525C3E">
        <w:rPr>
          <w:iCs/>
        </w:rPr>
        <w:t>, 383 B.R. 323 (Bankr. N.D. Ohio 2007) (debtor’s special circumstances must share traits with the statutory examples, and must la</w:t>
      </w:r>
      <w:r w:rsidR="00B40F9F" w:rsidRPr="00525C3E">
        <w:rPr>
          <w:iCs/>
        </w:rPr>
        <w:t>ck any reasonable alternative.).</w:t>
      </w:r>
    </w:p>
    <w:p w:rsidR="00BF0494" w:rsidRPr="00525C3E" w:rsidRDefault="00DA777F" w:rsidP="000F700A">
      <w:pPr>
        <w:pStyle w:val="Heading2"/>
        <w:numPr>
          <w:ilvl w:val="0"/>
          <w:numId w:val="17"/>
        </w:numPr>
        <w:rPr>
          <w:rFonts w:ascii="Times New Roman" w:hAnsi="Times New Roman"/>
          <w:i w:val="0"/>
          <w:sz w:val="24"/>
          <w:u w:val="single"/>
        </w:rPr>
      </w:pPr>
      <w:r w:rsidRPr="00525C3E">
        <w:rPr>
          <w:rFonts w:ascii="Times New Roman" w:hAnsi="Times New Roman"/>
          <w:i w:val="0"/>
          <w:iCs w:val="0"/>
          <w:sz w:val="24"/>
          <w:u w:val="single"/>
        </w:rPr>
        <w:t>“Step-up” Of Plan Payment When a</w:t>
      </w:r>
      <w:r w:rsidR="00BF0494" w:rsidRPr="00525C3E">
        <w:rPr>
          <w:rFonts w:ascii="Times New Roman" w:hAnsi="Times New Roman"/>
          <w:i w:val="0"/>
          <w:iCs w:val="0"/>
          <w:sz w:val="24"/>
          <w:u w:val="single"/>
        </w:rPr>
        <w:t>n Allowed Expense Expires</w:t>
      </w:r>
    </w:p>
    <w:p w:rsidR="00C27CFA" w:rsidRPr="00525C3E" w:rsidRDefault="00C27CFA" w:rsidP="002C79E6">
      <w:pPr>
        <w:ind w:firstLine="720"/>
        <w:rPr>
          <w:szCs w:val="28"/>
        </w:rPr>
      </w:pPr>
    </w:p>
    <w:p w:rsidR="005F1039" w:rsidRPr="00525C3E" w:rsidRDefault="004C6ED4" w:rsidP="00F25702">
      <w:pPr>
        <w:ind w:firstLine="720"/>
        <w:rPr>
          <w:szCs w:val="28"/>
        </w:rPr>
      </w:pPr>
      <w:r w:rsidRPr="00525C3E">
        <w:rPr>
          <w:szCs w:val="28"/>
        </w:rPr>
        <w:t>Some courts may require that a plan payment be “stepped up” at some point during the plan’s duration to adjust the plan for an allowed expense that discontinues prior to the completion of the plan.</w:t>
      </w:r>
      <w:r w:rsidR="00330D94" w:rsidRPr="00525C3E">
        <w:rPr>
          <w:szCs w:val="28"/>
        </w:rPr>
        <w:t xml:space="preserve"> </w:t>
      </w:r>
      <w:r w:rsidR="002D13E8" w:rsidRPr="00525C3E">
        <w:rPr>
          <w:szCs w:val="28"/>
        </w:rPr>
        <w:t>A typical example</w:t>
      </w:r>
      <w:r w:rsidRPr="00525C3E">
        <w:rPr>
          <w:szCs w:val="28"/>
        </w:rPr>
        <w:t xml:space="preserve"> </w:t>
      </w:r>
      <w:r w:rsidR="002D13E8" w:rsidRPr="00525C3E">
        <w:rPr>
          <w:szCs w:val="28"/>
        </w:rPr>
        <w:t>is</w:t>
      </w:r>
      <w:r w:rsidRPr="00525C3E">
        <w:rPr>
          <w:szCs w:val="28"/>
        </w:rPr>
        <w:t xml:space="preserve"> debt service payment that complete</w:t>
      </w:r>
      <w:r w:rsidR="002D13E8" w:rsidRPr="00525C3E">
        <w:rPr>
          <w:szCs w:val="28"/>
        </w:rPr>
        <w:t>s</w:t>
      </w:r>
      <w:r w:rsidRPr="00525C3E">
        <w:rPr>
          <w:szCs w:val="28"/>
        </w:rPr>
        <w:t xml:space="preserve"> before the end of</w:t>
      </w:r>
      <w:r w:rsidR="005668EA" w:rsidRPr="00525C3E">
        <w:rPr>
          <w:szCs w:val="28"/>
        </w:rPr>
        <w:t xml:space="preserve"> the plan such as pay off of a </w:t>
      </w:r>
      <w:r w:rsidRPr="00525C3E">
        <w:rPr>
          <w:szCs w:val="28"/>
        </w:rPr>
        <w:t>loan from a defined contribution retirement plan.</w:t>
      </w:r>
    </w:p>
    <w:p w:rsidR="00BF0494" w:rsidRPr="00525C3E" w:rsidRDefault="00BF0494" w:rsidP="00F25702">
      <w:pPr>
        <w:ind w:firstLine="720"/>
        <w:rPr>
          <w:szCs w:val="28"/>
        </w:rPr>
      </w:pPr>
    </w:p>
    <w:p w:rsidR="005653A4" w:rsidRPr="00525C3E" w:rsidRDefault="00A94AC8" w:rsidP="002875B1">
      <w:pPr>
        <w:ind w:firstLine="720"/>
        <w:rPr>
          <w:szCs w:val="28"/>
        </w:rPr>
      </w:pPr>
      <w:r w:rsidRPr="00525C3E">
        <w:rPr>
          <w:i/>
          <w:szCs w:val="28"/>
        </w:rPr>
        <w:t>Coop v. Lasowski</w:t>
      </w:r>
      <w:r w:rsidRPr="00525C3E">
        <w:rPr>
          <w:szCs w:val="28"/>
        </w:rPr>
        <w:t xml:space="preserve"> (</w:t>
      </w:r>
      <w:r w:rsidRPr="00525C3E">
        <w:rPr>
          <w:i/>
          <w:szCs w:val="28"/>
        </w:rPr>
        <w:t>In re Lasowski</w:t>
      </w:r>
      <w:r w:rsidRPr="00525C3E">
        <w:rPr>
          <w:szCs w:val="28"/>
        </w:rPr>
        <w:t xml:space="preserve">), 384 B.R. 205 (B.A.P. 8th Cir. 2008) (requiring a debtor to redirect to unsecured creditors funds made available by full repayment of 401(k) loan during pendency of the plan), </w:t>
      </w:r>
      <w:r w:rsidRPr="00525C3E">
        <w:rPr>
          <w:i/>
          <w:szCs w:val="28"/>
        </w:rPr>
        <w:t>aff’d</w:t>
      </w:r>
      <w:r w:rsidRPr="00525C3E">
        <w:rPr>
          <w:szCs w:val="28"/>
        </w:rPr>
        <w:t xml:space="preserve"> </w:t>
      </w:r>
      <w:r w:rsidRPr="00525C3E">
        <w:rPr>
          <w:i/>
          <w:szCs w:val="28"/>
        </w:rPr>
        <w:t xml:space="preserve">sub nom. McCarty v. Lasowski </w:t>
      </w:r>
      <w:r w:rsidRPr="00525C3E">
        <w:rPr>
          <w:szCs w:val="28"/>
        </w:rPr>
        <w:t>(</w:t>
      </w:r>
      <w:r w:rsidRPr="00525C3E">
        <w:rPr>
          <w:i/>
          <w:szCs w:val="28"/>
        </w:rPr>
        <w:t>In re Lasowski</w:t>
      </w:r>
      <w:r w:rsidRPr="00525C3E">
        <w:rPr>
          <w:szCs w:val="28"/>
        </w:rPr>
        <w:t>), No. 08-2017 (8th Cir. Aug. 12, 2009);</w:t>
      </w:r>
      <w:r w:rsidR="00D25381" w:rsidRPr="00525C3E">
        <w:rPr>
          <w:szCs w:val="28"/>
        </w:rPr>
        <w:t xml:space="preserve"> </w:t>
      </w:r>
      <w:r w:rsidR="00D25381" w:rsidRPr="00525C3E">
        <w:rPr>
          <w:i/>
          <w:szCs w:val="28"/>
        </w:rPr>
        <w:t>In re Cleaver</w:t>
      </w:r>
      <w:r w:rsidR="00D25381" w:rsidRPr="00525C3E">
        <w:rPr>
          <w:szCs w:val="28"/>
        </w:rPr>
        <w:t>, No. 09-14164, 2010 Bankr. LEXIS 872 (Bankr. D.N.M. March 22, 2010);</w:t>
      </w:r>
      <w:r w:rsidRPr="00525C3E">
        <w:rPr>
          <w:szCs w:val="28"/>
        </w:rPr>
        <w:t xml:space="preserve"> </w:t>
      </w:r>
      <w:r w:rsidR="00D43EEE" w:rsidRPr="00525C3E">
        <w:rPr>
          <w:i/>
          <w:szCs w:val="28"/>
        </w:rPr>
        <w:t>Eisen v. Thompson</w:t>
      </w:r>
      <w:r w:rsidR="00D43EEE" w:rsidRPr="00525C3E">
        <w:rPr>
          <w:szCs w:val="28"/>
        </w:rPr>
        <w:t xml:space="preserve">, 370 B.R. 762, 771 (N.D. Ohio 2007) (opining, in </w:t>
      </w:r>
      <w:r w:rsidR="00D43EEE" w:rsidRPr="00525C3E">
        <w:rPr>
          <w:i/>
          <w:szCs w:val="28"/>
        </w:rPr>
        <w:t>dicta</w:t>
      </w:r>
      <w:r w:rsidR="00AE4895" w:rsidRPr="00525C3E">
        <w:rPr>
          <w:szCs w:val="28"/>
        </w:rPr>
        <w:t>,</w:t>
      </w:r>
      <w:r w:rsidR="00D43EEE" w:rsidRPr="00525C3E">
        <w:rPr>
          <w:szCs w:val="28"/>
        </w:rPr>
        <w:t xml:space="preserve"> that the pay off of a 401(k) loan during the applicable commitment period would enable a Chapter 13 trustee to direct the “newly av</w:t>
      </w:r>
      <w:r w:rsidR="00330D94" w:rsidRPr="00525C3E">
        <w:rPr>
          <w:szCs w:val="28"/>
        </w:rPr>
        <w:t xml:space="preserve">ailable” monies to creditors); </w:t>
      </w:r>
      <w:r w:rsidR="002875B1" w:rsidRPr="00525C3E">
        <w:rPr>
          <w:i/>
          <w:szCs w:val="28"/>
        </w:rPr>
        <w:t>In re Davis</w:t>
      </w:r>
      <w:r w:rsidR="002875B1" w:rsidRPr="00525C3E">
        <w:rPr>
          <w:szCs w:val="28"/>
        </w:rPr>
        <w:t xml:space="preserve">, 378 B.R. 539 (Bankr. N.D. Ohio 2007) </w:t>
      </w:r>
      <w:r w:rsidR="00B00941" w:rsidRPr="00525C3E">
        <w:rPr>
          <w:szCs w:val="28"/>
        </w:rPr>
        <w:t>(</w:t>
      </w:r>
      <w:r w:rsidR="002875B1" w:rsidRPr="00525C3E">
        <w:rPr>
          <w:szCs w:val="28"/>
        </w:rPr>
        <w:t>finding relief under Chapter 7 abusive in part because of debtor’s ability to pay unsecured creditors additional monies after repayment of loan from her Thrift Savings Plan.)</w:t>
      </w:r>
      <w:r w:rsidR="00B40F9F" w:rsidRPr="00525C3E">
        <w:rPr>
          <w:szCs w:val="28"/>
        </w:rPr>
        <w:t>.</w:t>
      </w:r>
    </w:p>
    <w:p w:rsidR="001617C8" w:rsidRPr="00525C3E" w:rsidRDefault="001617C8" w:rsidP="001617C8">
      <w:pPr>
        <w:rPr>
          <w:rFonts w:cs="Arial"/>
          <w:b/>
          <w:szCs w:val="20"/>
        </w:rPr>
      </w:pPr>
    </w:p>
    <w:p w:rsidR="001617C8" w:rsidRPr="00525C3E" w:rsidRDefault="001617C8" w:rsidP="001617C8">
      <w:pPr>
        <w:rPr>
          <w:rFonts w:cs="Arial"/>
          <w:szCs w:val="20"/>
        </w:rPr>
      </w:pPr>
      <w:r w:rsidRPr="00525C3E">
        <w:rPr>
          <w:rFonts w:cs="Arial"/>
          <w:b/>
          <w:szCs w:val="20"/>
        </w:rPr>
        <w:t>II</w:t>
      </w:r>
      <w:r w:rsidR="00835A38">
        <w:rPr>
          <w:rFonts w:cs="Arial"/>
          <w:b/>
          <w:szCs w:val="20"/>
        </w:rPr>
        <w:t>I</w:t>
      </w:r>
      <w:r w:rsidRPr="00525C3E">
        <w:rPr>
          <w:rFonts w:cs="Arial"/>
          <w:b/>
          <w:szCs w:val="20"/>
        </w:rPr>
        <w:t>.</w:t>
      </w:r>
      <w:r w:rsidR="00330D94" w:rsidRPr="00525C3E">
        <w:rPr>
          <w:rFonts w:cs="Arial"/>
          <w:b/>
          <w:szCs w:val="20"/>
        </w:rPr>
        <w:t xml:space="preserve"> </w:t>
      </w:r>
      <w:r w:rsidRPr="00525C3E">
        <w:rPr>
          <w:rFonts w:cs="Arial"/>
          <w:b/>
          <w:szCs w:val="20"/>
        </w:rPr>
        <w:t>B</w:t>
      </w:r>
      <w:r w:rsidR="00631A49" w:rsidRPr="00525C3E">
        <w:rPr>
          <w:rFonts w:cs="Arial"/>
          <w:b/>
          <w:szCs w:val="20"/>
        </w:rPr>
        <w:t>ANKRUPTCY FORMS LACK FORCE OF LAW</w:t>
      </w:r>
    </w:p>
    <w:p w:rsidR="001617C8" w:rsidRPr="00525C3E" w:rsidRDefault="001617C8" w:rsidP="001617C8">
      <w:pPr>
        <w:rPr>
          <w:rFonts w:cs="Arial"/>
          <w:szCs w:val="20"/>
        </w:rPr>
      </w:pPr>
    </w:p>
    <w:p w:rsidR="001617C8" w:rsidRPr="00525C3E" w:rsidRDefault="001617C8" w:rsidP="001617C8">
      <w:pPr>
        <w:ind w:firstLine="720"/>
      </w:pPr>
      <w:r w:rsidRPr="00525C3E">
        <w:t>Many courts note that even though Debtors may have followed the instructions on Form 22C, this Form does not have the force or effect of the law.</w:t>
      </w:r>
    </w:p>
    <w:p w:rsidR="001617C8" w:rsidRPr="00525C3E" w:rsidRDefault="001617C8" w:rsidP="001617C8">
      <w:pPr>
        <w:ind w:firstLine="720"/>
        <w:rPr>
          <w:rFonts w:cs="Arial"/>
          <w:i/>
          <w:szCs w:val="20"/>
        </w:rPr>
      </w:pPr>
    </w:p>
    <w:p w:rsidR="001617C8" w:rsidRPr="00525C3E" w:rsidRDefault="001617C8" w:rsidP="001617C8">
      <w:pPr>
        <w:ind w:firstLine="720"/>
        <w:rPr>
          <w:rFonts w:cs="Arial"/>
          <w:szCs w:val="20"/>
        </w:rPr>
      </w:pPr>
      <w:r w:rsidRPr="00525C3E">
        <w:rPr>
          <w:rFonts w:cs="Arial"/>
          <w:i/>
          <w:szCs w:val="20"/>
        </w:rPr>
        <w:t>Drummond v. Wiegand</w:t>
      </w:r>
      <w:r w:rsidRPr="00525C3E">
        <w:rPr>
          <w:rFonts w:cs="Arial"/>
          <w:szCs w:val="20"/>
        </w:rPr>
        <w:t xml:space="preserve"> (</w:t>
      </w:r>
      <w:r w:rsidRPr="00525C3E">
        <w:rPr>
          <w:rFonts w:cs="Arial"/>
          <w:i/>
          <w:szCs w:val="20"/>
        </w:rPr>
        <w:t>In re Wiegand</w:t>
      </w:r>
      <w:r w:rsidRPr="00525C3E">
        <w:rPr>
          <w:rFonts w:cs="Arial"/>
          <w:szCs w:val="20"/>
        </w:rPr>
        <w:t>), 386 B.R. 238 (B.A.P. 9th Cir. 2008) (</w:t>
      </w:r>
      <w:r w:rsidR="003B7D8C" w:rsidRPr="00525C3E">
        <w:rPr>
          <w:rFonts w:cs="Arial"/>
          <w:szCs w:val="20"/>
        </w:rPr>
        <w:t xml:space="preserve">noting in the context of the deduction of business expenses </w:t>
      </w:r>
      <w:r w:rsidR="00AE4895" w:rsidRPr="00525C3E">
        <w:rPr>
          <w:rFonts w:cs="Arial"/>
          <w:szCs w:val="20"/>
        </w:rPr>
        <w:t xml:space="preserve">from </w:t>
      </w:r>
      <w:r w:rsidR="008F7B66" w:rsidRPr="00525C3E">
        <w:rPr>
          <w:rFonts w:cs="Arial"/>
          <w:szCs w:val="20"/>
        </w:rPr>
        <w:t>CMI</w:t>
      </w:r>
      <w:r w:rsidR="00AE4895" w:rsidRPr="00525C3E">
        <w:rPr>
          <w:rFonts w:cs="Arial"/>
          <w:szCs w:val="20"/>
        </w:rPr>
        <w:t xml:space="preserve"> </w:t>
      </w:r>
      <w:r w:rsidR="003B7D8C" w:rsidRPr="00525C3E">
        <w:rPr>
          <w:rFonts w:cs="Arial"/>
          <w:szCs w:val="20"/>
        </w:rPr>
        <w:t>before or after</w:t>
      </w:r>
      <w:r w:rsidR="00AE4895" w:rsidRPr="00525C3E">
        <w:rPr>
          <w:rFonts w:cs="Arial"/>
          <w:szCs w:val="20"/>
        </w:rPr>
        <w:t xml:space="preserve"> the</w:t>
      </w:r>
      <w:r w:rsidR="003B7D8C" w:rsidRPr="00525C3E">
        <w:rPr>
          <w:rFonts w:cs="Arial"/>
          <w:szCs w:val="20"/>
        </w:rPr>
        <w:t xml:space="preserve"> </w:t>
      </w:r>
      <w:r w:rsidR="00AE4895" w:rsidRPr="00525C3E">
        <w:rPr>
          <w:rFonts w:cs="Arial"/>
          <w:szCs w:val="20"/>
        </w:rPr>
        <w:t>determination of the applicable commitment period</w:t>
      </w:r>
      <w:r w:rsidR="003B7D8C" w:rsidRPr="00525C3E">
        <w:rPr>
          <w:rFonts w:cs="Arial"/>
          <w:szCs w:val="20"/>
        </w:rPr>
        <w:t xml:space="preserve">, </w:t>
      </w:r>
      <w:r w:rsidRPr="00525C3E">
        <w:rPr>
          <w:rFonts w:cs="Arial"/>
          <w:szCs w:val="20"/>
        </w:rPr>
        <w:t>“</w:t>
      </w:r>
      <w:r w:rsidR="003B7D8C" w:rsidRPr="00525C3E">
        <w:rPr>
          <w:rFonts w:cs="Arial"/>
          <w:szCs w:val="20"/>
        </w:rPr>
        <w:t>w</w:t>
      </w:r>
      <w:r w:rsidRPr="00525C3E">
        <w:rPr>
          <w:rFonts w:cs="Arial"/>
          <w:szCs w:val="20"/>
        </w:rPr>
        <w:t>hen an Official Bankruptcy Form conflicts with</w:t>
      </w:r>
      <w:r w:rsidR="003B7D8C" w:rsidRPr="00525C3E">
        <w:rPr>
          <w:rFonts w:cs="Arial"/>
          <w:szCs w:val="20"/>
        </w:rPr>
        <w:t xml:space="preserve"> the Code, the Code always wins</w:t>
      </w:r>
      <w:r w:rsidRPr="00525C3E">
        <w:rPr>
          <w:rFonts w:cs="Arial"/>
          <w:szCs w:val="20"/>
        </w:rPr>
        <w:t>”)</w:t>
      </w:r>
      <w:r w:rsidR="00330D94" w:rsidRPr="00525C3E">
        <w:rPr>
          <w:rFonts w:cs="Arial"/>
          <w:szCs w:val="20"/>
        </w:rPr>
        <w:t>.</w:t>
      </w:r>
    </w:p>
    <w:p w:rsidR="001617C8" w:rsidRPr="00525C3E" w:rsidRDefault="001617C8" w:rsidP="001617C8">
      <w:pPr>
        <w:ind w:firstLine="720"/>
        <w:rPr>
          <w:rFonts w:cs="Arial"/>
          <w:szCs w:val="20"/>
        </w:rPr>
      </w:pPr>
    </w:p>
    <w:p w:rsidR="001617C8" w:rsidRPr="00525C3E" w:rsidRDefault="001617C8" w:rsidP="001617C8">
      <w:pPr>
        <w:ind w:firstLine="720"/>
        <w:rPr>
          <w:rFonts w:cs="Arial"/>
          <w:szCs w:val="20"/>
        </w:rPr>
      </w:pPr>
      <w:r w:rsidRPr="00525C3E">
        <w:rPr>
          <w:rFonts w:cs="Arial"/>
          <w:i/>
          <w:szCs w:val="20"/>
        </w:rPr>
        <w:t>In re Arnold</w:t>
      </w:r>
      <w:r w:rsidRPr="00525C3E">
        <w:rPr>
          <w:rFonts w:cs="Arial"/>
          <w:szCs w:val="20"/>
        </w:rPr>
        <w:t>, 376 B.R. 652 (Bankr. M.D. Tenn. 2007) (</w:t>
      </w:r>
      <w:r w:rsidR="003B7D8C" w:rsidRPr="00525C3E">
        <w:rPr>
          <w:rFonts w:cs="Arial"/>
          <w:szCs w:val="20"/>
        </w:rPr>
        <w:t xml:space="preserve">addressing the issue of whether the deduction of business expenses </w:t>
      </w:r>
      <w:r w:rsidR="00516F9B" w:rsidRPr="00525C3E">
        <w:rPr>
          <w:rFonts w:cs="Arial"/>
          <w:szCs w:val="20"/>
        </w:rPr>
        <w:t xml:space="preserve">from </w:t>
      </w:r>
      <w:r w:rsidR="008F7B66" w:rsidRPr="00525C3E">
        <w:rPr>
          <w:rFonts w:cs="Arial"/>
          <w:szCs w:val="20"/>
        </w:rPr>
        <w:t>CMI</w:t>
      </w:r>
      <w:r w:rsidR="00516F9B" w:rsidRPr="00525C3E">
        <w:rPr>
          <w:rFonts w:cs="Arial"/>
          <w:szCs w:val="20"/>
        </w:rPr>
        <w:t xml:space="preserve"> </w:t>
      </w:r>
      <w:r w:rsidR="003B7D8C" w:rsidRPr="00525C3E">
        <w:rPr>
          <w:rFonts w:cs="Arial"/>
          <w:szCs w:val="20"/>
        </w:rPr>
        <w:t>occurs before or after</w:t>
      </w:r>
      <w:r w:rsidR="00516F9B" w:rsidRPr="00525C3E">
        <w:rPr>
          <w:rFonts w:cs="Arial"/>
          <w:szCs w:val="20"/>
        </w:rPr>
        <w:t xml:space="preserve"> the determination of the </w:t>
      </w:r>
      <w:r w:rsidR="00516F9B" w:rsidRPr="00525C3E">
        <w:rPr>
          <w:rFonts w:cs="Arial"/>
          <w:szCs w:val="20"/>
        </w:rPr>
        <w:lastRenderedPageBreak/>
        <w:t xml:space="preserve">applicable commitment period </w:t>
      </w:r>
      <w:r w:rsidR="003B7D8C" w:rsidRPr="00525C3E">
        <w:rPr>
          <w:rFonts w:cs="Arial"/>
          <w:szCs w:val="20"/>
        </w:rPr>
        <w:t xml:space="preserve">and finding that </w:t>
      </w:r>
      <w:r w:rsidRPr="00525C3E">
        <w:rPr>
          <w:rFonts w:cs="Arial"/>
          <w:szCs w:val="20"/>
        </w:rPr>
        <w:t>“</w:t>
      </w:r>
      <w:r w:rsidR="003B7D8C" w:rsidRPr="00525C3E">
        <w:rPr>
          <w:rFonts w:cs="Arial"/>
          <w:szCs w:val="20"/>
        </w:rPr>
        <w:t>[t]</w:t>
      </w:r>
      <w:r w:rsidRPr="00525C3E">
        <w:rPr>
          <w:rFonts w:cs="Arial"/>
          <w:szCs w:val="20"/>
        </w:rPr>
        <w:t>his Chapter 13 case should be titled ‘The Bankruptcy Code v. The Official Bankruptcy Forms.’</w:t>
      </w:r>
      <w:r w:rsidR="00330D94" w:rsidRPr="00525C3E">
        <w:rPr>
          <w:rFonts w:cs="Arial"/>
          <w:szCs w:val="20"/>
        </w:rPr>
        <w:t xml:space="preserve"> </w:t>
      </w:r>
      <w:r w:rsidRPr="00525C3E">
        <w:rPr>
          <w:rFonts w:cs="Arial"/>
          <w:szCs w:val="20"/>
        </w:rPr>
        <w:t>The title portends the answer, because as we all know, the Bankruptcy Code always wins.”)</w:t>
      </w:r>
      <w:r w:rsidR="003C634C" w:rsidRPr="00525C3E">
        <w:rPr>
          <w:rFonts w:cs="Arial"/>
          <w:szCs w:val="20"/>
        </w:rPr>
        <w:t>.</w:t>
      </w:r>
    </w:p>
    <w:p w:rsidR="001617C8" w:rsidRPr="00525C3E" w:rsidRDefault="001617C8" w:rsidP="001617C8">
      <w:pPr>
        <w:ind w:firstLine="720"/>
        <w:rPr>
          <w:rFonts w:cs="Arial"/>
          <w:szCs w:val="20"/>
        </w:rPr>
      </w:pPr>
    </w:p>
    <w:p w:rsidR="001617C8" w:rsidRPr="00525C3E" w:rsidRDefault="001617C8" w:rsidP="001617C8">
      <w:pPr>
        <w:ind w:firstLine="720"/>
        <w:rPr>
          <w:rFonts w:cs="Arial"/>
          <w:szCs w:val="20"/>
        </w:rPr>
      </w:pPr>
      <w:r w:rsidRPr="00525C3E">
        <w:rPr>
          <w:rFonts w:cs="Arial"/>
          <w:i/>
          <w:szCs w:val="20"/>
        </w:rPr>
        <w:t>Ransom v. MBNA Am. Bank, N.A.</w:t>
      </w:r>
      <w:r w:rsidRPr="00525C3E">
        <w:rPr>
          <w:rFonts w:cs="Arial"/>
          <w:szCs w:val="20"/>
        </w:rPr>
        <w:t xml:space="preserve"> (</w:t>
      </w:r>
      <w:r w:rsidRPr="00525C3E">
        <w:rPr>
          <w:rFonts w:cs="Arial"/>
          <w:i/>
          <w:szCs w:val="20"/>
        </w:rPr>
        <w:t>In re Ransom</w:t>
      </w:r>
      <w:r w:rsidRPr="00525C3E">
        <w:rPr>
          <w:rFonts w:cs="Arial"/>
          <w:szCs w:val="20"/>
        </w:rPr>
        <w:t>), 380 B.R. 799 (B.A.P. 9th Cir. 2007)</w:t>
      </w:r>
      <w:r w:rsidR="00DE2507" w:rsidRPr="00525C3E">
        <w:rPr>
          <w:szCs w:val="28"/>
        </w:rPr>
        <w:t xml:space="preserve"> </w:t>
      </w:r>
      <w:r w:rsidRPr="00525C3E">
        <w:t>(</w:t>
      </w:r>
      <w:r w:rsidR="004519B5" w:rsidRPr="00525C3E">
        <w:t xml:space="preserve">recognizing, in context of deductions for vehicles that are owned outright, that </w:t>
      </w:r>
      <w:r w:rsidRPr="00525C3E">
        <w:t>“</w:t>
      </w:r>
      <w:r w:rsidR="004519B5" w:rsidRPr="00525C3E">
        <w:t>f</w:t>
      </w:r>
      <w:r w:rsidRPr="00525C3E">
        <w:rPr>
          <w:rFonts w:cs="Arial"/>
          <w:szCs w:val="20"/>
        </w:rPr>
        <w:t>orms are only valid to the extent that they conform to the substantive provisions of the Bankruptcy Code.</w:t>
      </w:r>
      <w:r w:rsidR="00330D94" w:rsidRPr="00525C3E">
        <w:rPr>
          <w:rFonts w:cs="Arial"/>
          <w:szCs w:val="20"/>
        </w:rPr>
        <w:t xml:space="preserve"> </w:t>
      </w:r>
      <w:r w:rsidRPr="00525C3E">
        <w:rPr>
          <w:rFonts w:cs="Arial"/>
          <w:szCs w:val="20"/>
        </w:rPr>
        <w:t>It is axiomatic that guidelines in a form cannot stand as independent authority in opposition to the Bankruptcy Code itself.”)</w:t>
      </w:r>
      <w:r w:rsidR="00DE2507" w:rsidRPr="00525C3E">
        <w:rPr>
          <w:rFonts w:cs="Arial"/>
          <w:szCs w:val="20"/>
        </w:rPr>
        <w:t xml:space="preserve">, </w:t>
      </w:r>
      <w:r w:rsidR="00DE2507" w:rsidRPr="00525C3E">
        <w:rPr>
          <w:rFonts w:cs="Arial"/>
          <w:i/>
          <w:szCs w:val="20"/>
        </w:rPr>
        <w:t>aff’d</w:t>
      </w:r>
      <w:r w:rsidR="00DE2507" w:rsidRPr="00525C3E">
        <w:rPr>
          <w:rFonts w:cs="Arial"/>
          <w:szCs w:val="20"/>
        </w:rPr>
        <w:t xml:space="preserve"> </w:t>
      </w:r>
      <w:r w:rsidR="00835A38">
        <w:rPr>
          <w:szCs w:val="28"/>
        </w:rPr>
        <w:t>577 F.3d 1025</w:t>
      </w:r>
      <w:r w:rsidR="00835A38" w:rsidRPr="00525C3E">
        <w:rPr>
          <w:szCs w:val="28"/>
        </w:rPr>
        <w:t xml:space="preserve"> (9th 2009)</w:t>
      </w:r>
      <w:r w:rsidR="00835A38">
        <w:rPr>
          <w:szCs w:val="28"/>
        </w:rPr>
        <w:t>,</w:t>
      </w:r>
      <w:r w:rsidR="00835A38" w:rsidRPr="00525C3E">
        <w:rPr>
          <w:szCs w:val="28"/>
        </w:rPr>
        <w:t xml:space="preserve"> </w:t>
      </w:r>
      <w:r w:rsidR="00835A38" w:rsidRPr="00525C3E">
        <w:rPr>
          <w:i/>
          <w:szCs w:val="28"/>
        </w:rPr>
        <w:t xml:space="preserve">cert </w:t>
      </w:r>
      <w:r w:rsidR="00835A38">
        <w:rPr>
          <w:i/>
          <w:szCs w:val="28"/>
        </w:rPr>
        <w:t>granted</w:t>
      </w:r>
      <w:r w:rsidR="00835A38">
        <w:rPr>
          <w:szCs w:val="28"/>
        </w:rPr>
        <w:t>, 09-907 (Apr. 19, 2010).</w:t>
      </w:r>
    </w:p>
    <w:p w:rsidR="003C19DC" w:rsidRPr="00525C3E" w:rsidRDefault="003C19DC" w:rsidP="001617C8">
      <w:pPr>
        <w:ind w:firstLine="720"/>
        <w:rPr>
          <w:rFonts w:cs="Arial"/>
          <w:szCs w:val="20"/>
        </w:rPr>
      </w:pPr>
    </w:p>
    <w:p w:rsidR="003C19DC" w:rsidRPr="00525C3E" w:rsidRDefault="003C19DC" w:rsidP="001617C8">
      <w:pPr>
        <w:ind w:firstLine="720"/>
        <w:rPr>
          <w:rFonts w:cs="Arial"/>
          <w:szCs w:val="20"/>
        </w:rPr>
      </w:pPr>
      <w:r w:rsidRPr="00525C3E">
        <w:rPr>
          <w:i/>
        </w:rPr>
        <w:t>In re Reyes</w:t>
      </w:r>
      <w:r w:rsidRPr="00525C3E">
        <w:t>, No. 08-28740, 2009 Bankr. LEXIS 307, at *10-18 (Bankr. C.D. Cal. Feb. 27, 2009) (rejecting the debtor’s argument regarding compliance with the Form 22C instructions by recognizing that “[n]ational or local forms are only valid to the extent that they conform to the substantive provision of the Bankruptcy Code”)</w:t>
      </w:r>
      <w:r w:rsidR="00150C02" w:rsidRPr="00525C3E">
        <w:t>.</w:t>
      </w:r>
    </w:p>
    <w:p w:rsidR="00222EF0" w:rsidRPr="00525C3E" w:rsidRDefault="00835A38" w:rsidP="00D975CD">
      <w:pPr>
        <w:pStyle w:val="Heading1"/>
        <w:numPr>
          <w:ilvl w:val="0"/>
          <w:numId w:val="0"/>
        </w:numPr>
        <w:rPr>
          <w:rFonts w:ascii="Times New Roman" w:hAnsi="Times New Roman"/>
          <w:sz w:val="24"/>
          <w:szCs w:val="28"/>
        </w:rPr>
      </w:pPr>
      <w:r>
        <w:rPr>
          <w:rFonts w:ascii="Times New Roman" w:hAnsi="Times New Roman"/>
          <w:sz w:val="24"/>
          <w:szCs w:val="28"/>
        </w:rPr>
        <w:t>IV</w:t>
      </w:r>
      <w:r w:rsidR="00D975CD" w:rsidRPr="00525C3E">
        <w:rPr>
          <w:rFonts w:ascii="Times New Roman" w:hAnsi="Times New Roman"/>
          <w:sz w:val="24"/>
          <w:szCs w:val="28"/>
        </w:rPr>
        <w:t>.</w:t>
      </w:r>
      <w:r w:rsidR="00330D94" w:rsidRPr="00525C3E">
        <w:rPr>
          <w:rFonts w:ascii="Times New Roman" w:hAnsi="Times New Roman"/>
          <w:sz w:val="24"/>
          <w:szCs w:val="28"/>
        </w:rPr>
        <w:t xml:space="preserve"> </w:t>
      </w:r>
      <w:r w:rsidR="00222EF0" w:rsidRPr="00525C3E">
        <w:rPr>
          <w:rFonts w:ascii="Times New Roman" w:hAnsi="Times New Roman"/>
          <w:sz w:val="24"/>
          <w:szCs w:val="28"/>
        </w:rPr>
        <w:t>G</w:t>
      </w:r>
      <w:r w:rsidR="00631A49" w:rsidRPr="00525C3E">
        <w:rPr>
          <w:rFonts w:ascii="Times New Roman" w:hAnsi="Times New Roman"/>
          <w:sz w:val="24"/>
          <w:szCs w:val="28"/>
        </w:rPr>
        <w:t>OOD FAITH</w:t>
      </w:r>
    </w:p>
    <w:p w:rsidR="00222EF0" w:rsidRPr="00525C3E" w:rsidRDefault="00222EF0" w:rsidP="008C7A9D">
      <w:pPr>
        <w:ind w:firstLine="720"/>
        <w:rPr>
          <w:szCs w:val="28"/>
        </w:rPr>
      </w:pPr>
    </w:p>
    <w:p w:rsidR="008D0671" w:rsidRPr="00525C3E" w:rsidRDefault="0096305E" w:rsidP="00222EF0">
      <w:pPr>
        <w:ind w:firstLine="720"/>
        <w:rPr>
          <w:rFonts w:cs="Arial"/>
          <w:szCs w:val="20"/>
        </w:rPr>
      </w:pPr>
      <w:r w:rsidRPr="00525C3E">
        <w:rPr>
          <w:rFonts w:cs="Arial"/>
          <w:szCs w:val="20"/>
        </w:rPr>
        <w:t xml:space="preserve">The Code requires that a plan shall be confirmed if, </w:t>
      </w:r>
      <w:r w:rsidRPr="00525C3E">
        <w:rPr>
          <w:rFonts w:cs="Arial"/>
          <w:i/>
          <w:szCs w:val="20"/>
        </w:rPr>
        <w:t>inter alia</w:t>
      </w:r>
      <w:r w:rsidRPr="00525C3E">
        <w:rPr>
          <w:rFonts w:cs="Arial"/>
          <w:szCs w:val="20"/>
        </w:rPr>
        <w:t>, it has been proposed in good faith.</w:t>
      </w:r>
      <w:r w:rsidR="00330D94" w:rsidRPr="00525C3E">
        <w:rPr>
          <w:rFonts w:cs="Arial"/>
          <w:szCs w:val="20"/>
        </w:rPr>
        <w:t xml:space="preserve"> </w:t>
      </w:r>
      <w:r w:rsidRPr="00525C3E">
        <w:rPr>
          <w:rFonts w:cs="Arial"/>
          <w:szCs w:val="20"/>
        </w:rPr>
        <w:t>11 U.S.C. § 1325(a)(3).</w:t>
      </w:r>
      <w:r w:rsidR="00330D94" w:rsidRPr="00525C3E">
        <w:rPr>
          <w:rFonts w:cs="Arial"/>
          <w:szCs w:val="20"/>
        </w:rPr>
        <w:t xml:space="preserve"> </w:t>
      </w:r>
      <w:r w:rsidRPr="00525C3E">
        <w:rPr>
          <w:rFonts w:cs="Arial"/>
          <w:szCs w:val="20"/>
        </w:rPr>
        <w:t xml:space="preserve">A court may raise this criterion </w:t>
      </w:r>
      <w:r w:rsidRPr="00525C3E">
        <w:rPr>
          <w:rFonts w:cs="Arial"/>
          <w:i/>
          <w:szCs w:val="20"/>
        </w:rPr>
        <w:t>sua sponte</w:t>
      </w:r>
      <w:r w:rsidRPr="00525C3E">
        <w:rPr>
          <w:rFonts w:cs="Arial"/>
          <w:szCs w:val="20"/>
        </w:rPr>
        <w:t>, and need not rely on a creditor or trustee to object to confirmation on this basis.</w:t>
      </w:r>
      <w:r w:rsidR="00330D94" w:rsidRPr="00525C3E">
        <w:rPr>
          <w:rFonts w:cs="Arial"/>
          <w:szCs w:val="20"/>
        </w:rPr>
        <w:t xml:space="preserve"> </w:t>
      </w:r>
      <w:r w:rsidR="00B847C1" w:rsidRPr="00525C3E">
        <w:rPr>
          <w:rFonts w:cs="Arial"/>
          <w:szCs w:val="20"/>
        </w:rPr>
        <w:t xml:space="preserve">Because the good faith requirement is separately and discretely expressed, some have argued that a debtor’s ability to pay, as shown by his projected disposable income applied to paying unsecured creditors, is immaterial to his good faith, </w:t>
      </w:r>
      <w:r w:rsidR="00271708" w:rsidRPr="00525C3E">
        <w:rPr>
          <w:rFonts w:cs="Arial"/>
          <w:szCs w:val="20"/>
        </w:rPr>
        <w:t xml:space="preserve">or, at least, </w:t>
      </w:r>
      <w:r w:rsidR="00B847C1" w:rsidRPr="00525C3E">
        <w:rPr>
          <w:rFonts w:cs="Arial"/>
          <w:szCs w:val="20"/>
        </w:rPr>
        <w:t xml:space="preserve">may not </w:t>
      </w:r>
      <w:r w:rsidR="00B847C1" w:rsidRPr="00525C3E">
        <w:rPr>
          <w:rFonts w:cs="Arial"/>
          <w:i/>
          <w:szCs w:val="20"/>
        </w:rPr>
        <w:t>ipse</w:t>
      </w:r>
      <w:r w:rsidR="00B847C1" w:rsidRPr="00525C3E">
        <w:rPr>
          <w:rFonts w:cs="Arial"/>
          <w:szCs w:val="20"/>
        </w:rPr>
        <w:t xml:space="preserve"> defeat a debtor’s good faith.</w:t>
      </w:r>
      <w:r w:rsidR="00330D94" w:rsidRPr="00525C3E">
        <w:rPr>
          <w:rFonts w:cs="Arial"/>
          <w:szCs w:val="20"/>
        </w:rPr>
        <w:t xml:space="preserve"> </w:t>
      </w:r>
      <w:r w:rsidR="00B847C1" w:rsidRPr="00525C3E">
        <w:rPr>
          <w:rFonts w:cs="Arial"/>
          <w:szCs w:val="20"/>
        </w:rPr>
        <w:t>Others have argued that the size of a plan payment is but one factor among many in examining a debtor’s good faith.</w:t>
      </w:r>
      <w:r w:rsidR="00330D94" w:rsidRPr="00525C3E">
        <w:rPr>
          <w:rFonts w:cs="Arial"/>
          <w:szCs w:val="20"/>
        </w:rPr>
        <w:t xml:space="preserve"> </w:t>
      </w:r>
      <w:r w:rsidR="008D0671" w:rsidRPr="00525C3E">
        <w:rPr>
          <w:rFonts w:cs="Arial"/>
          <w:i/>
          <w:szCs w:val="20"/>
        </w:rPr>
        <w:t>See</w:t>
      </w:r>
      <w:r w:rsidR="008D0671" w:rsidRPr="00525C3E">
        <w:rPr>
          <w:rFonts w:cs="Arial"/>
          <w:i/>
          <w:iCs/>
          <w:szCs w:val="20"/>
        </w:rPr>
        <w:t>,</w:t>
      </w:r>
      <w:r w:rsidR="008D0671" w:rsidRPr="00525C3E">
        <w:rPr>
          <w:rFonts w:cs="Arial"/>
          <w:iCs/>
          <w:szCs w:val="20"/>
        </w:rPr>
        <w:t xml:space="preserve"> </w:t>
      </w:r>
      <w:r w:rsidR="008D0671" w:rsidRPr="00525C3E">
        <w:rPr>
          <w:rFonts w:cs="Arial"/>
          <w:i/>
          <w:iCs/>
          <w:szCs w:val="20"/>
        </w:rPr>
        <w:t>e.g.</w:t>
      </w:r>
      <w:r w:rsidR="008D0671" w:rsidRPr="00525C3E">
        <w:rPr>
          <w:rFonts w:cs="Arial"/>
          <w:iCs/>
          <w:szCs w:val="20"/>
        </w:rPr>
        <w:t>,</w:t>
      </w:r>
      <w:r w:rsidR="008D0671" w:rsidRPr="00525C3E">
        <w:rPr>
          <w:rFonts w:cs="Arial"/>
          <w:i/>
          <w:szCs w:val="20"/>
        </w:rPr>
        <w:t xml:space="preserve"> </w:t>
      </w:r>
      <w:r w:rsidR="008D0671" w:rsidRPr="00525C3E">
        <w:rPr>
          <w:rFonts w:cs="Arial"/>
          <w:i/>
          <w:iCs/>
          <w:szCs w:val="20"/>
        </w:rPr>
        <w:t>Hardin v. Caldwell</w:t>
      </w:r>
      <w:r w:rsidR="008D0671" w:rsidRPr="00525C3E">
        <w:rPr>
          <w:rFonts w:cs="Arial"/>
          <w:szCs w:val="20"/>
        </w:rPr>
        <w:t xml:space="preserve"> (</w:t>
      </w:r>
      <w:r w:rsidR="008D0671" w:rsidRPr="00525C3E">
        <w:rPr>
          <w:rFonts w:cs="Arial"/>
          <w:i/>
          <w:iCs/>
          <w:szCs w:val="20"/>
        </w:rPr>
        <w:t>In re Caldwell</w:t>
      </w:r>
      <w:r w:rsidR="00632E23" w:rsidRPr="00525C3E">
        <w:rPr>
          <w:rFonts w:cs="Arial"/>
          <w:szCs w:val="20"/>
        </w:rPr>
        <w:t>), 851 F.2d 852, 859 (6th</w:t>
      </w:r>
      <w:r w:rsidR="008D0671" w:rsidRPr="00525C3E">
        <w:rPr>
          <w:rFonts w:cs="Arial"/>
          <w:szCs w:val="20"/>
        </w:rPr>
        <w:t xml:space="preserve"> Cir. 1988) (adopting and quoting with approval the good faith factors found in </w:t>
      </w:r>
      <w:r w:rsidR="008D0671" w:rsidRPr="00525C3E">
        <w:rPr>
          <w:rFonts w:cs="Arial"/>
          <w:i/>
          <w:iCs/>
          <w:szCs w:val="20"/>
        </w:rPr>
        <w:t>In re Estus</w:t>
      </w:r>
      <w:r w:rsidR="00632E23" w:rsidRPr="00525C3E">
        <w:rPr>
          <w:rFonts w:cs="Arial"/>
          <w:szCs w:val="20"/>
        </w:rPr>
        <w:t>, 695 F.2d 311, 317 (8th</w:t>
      </w:r>
      <w:r w:rsidR="008D0671" w:rsidRPr="00525C3E">
        <w:rPr>
          <w:rFonts w:cs="Arial"/>
          <w:szCs w:val="20"/>
        </w:rPr>
        <w:t xml:space="preserve"> Cir. 1982) and adding four additional factors, among which was “whether the debtor is attempting ‘to abuse the spirit of the Bankruptcy Code’”).</w:t>
      </w:r>
    </w:p>
    <w:p w:rsidR="000E7544" w:rsidRPr="00525C3E" w:rsidRDefault="008D0671" w:rsidP="00222EF0">
      <w:pPr>
        <w:ind w:firstLine="720"/>
        <w:rPr>
          <w:rFonts w:cs="Arial"/>
          <w:szCs w:val="20"/>
        </w:rPr>
      </w:pPr>
      <w:r w:rsidRPr="00525C3E">
        <w:rPr>
          <w:rFonts w:cs="Arial"/>
          <w:szCs w:val="20"/>
        </w:rPr>
        <w:t xml:space="preserve"> </w:t>
      </w:r>
    </w:p>
    <w:p w:rsidR="000E7544" w:rsidRPr="00525C3E" w:rsidRDefault="000E7544" w:rsidP="000E7544">
      <w:pPr>
        <w:ind w:firstLine="720"/>
        <w:rPr>
          <w:rFonts w:cs="Arial"/>
          <w:szCs w:val="20"/>
        </w:rPr>
      </w:pPr>
      <w:r w:rsidRPr="00525C3E">
        <w:rPr>
          <w:rFonts w:cs="Arial"/>
          <w:szCs w:val="20"/>
        </w:rPr>
        <w:t>Some courts maintain the position that BAPCPA retains the 1984 Act’s removal of ability to pay or amount of payment from the consideration of a debtor’s good faith.</w:t>
      </w:r>
      <w:r w:rsidR="00330D94" w:rsidRPr="00525C3E">
        <w:rPr>
          <w:rFonts w:cs="Arial"/>
          <w:szCs w:val="20"/>
        </w:rPr>
        <w:t xml:space="preserve"> </w:t>
      </w:r>
      <w:r w:rsidRPr="00525C3E">
        <w:rPr>
          <w:rFonts w:cs="Arial"/>
          <w:szCs w:val="20"/>
        </w:rPr>
        <w:t xml:space="preserve">They include </w:t>
      </w:r>
      <w:r w:rsidR="005668EA" w:rsidRPr="00525C3E">
        <w:rPr>
          <w:i/>
        </w:rPr>
        <w:t>Mancl v. Chatterton</w:t>
      </w:r>
      <w:r w:rsidR="005668EA" w:rsidRPr="00525C3E">
        <w:t xml:space="preserve"> (</w:t>
      </w:r>
      <w:r w:rsidR="005668EA" w:rsidRPr="00525C3E">
        <w:rPr>
          <w:i/>
        </w:rPr>
        <w:t>In re Mancl</w:t>
      </w:r>
      <w:r w:rsidR="005668EA" w:rsidRPr="00525C3E">
        <w:t>)</w:t>
      </w:r>
      <w:r w:rsidR="00BE7540" w:rsidRPr="00525C3E">
        <w:t>,</w:t>
      </w:r>
      <w:r w:rsidR="00BE7540" w:rsidRPr="00525C3E">
        <w:rPr>
          <w:rStyle w:val="FootnoteReference"/>
        </w:rPr>
        <w:footnoteReference w:id="8"/>
      </w:r>
      <w:r w:rsidR="005668EA" w:rsidRPr="00525C3E">
        <w:t xml:space="preserve"> </w:t>
      </w:r>
      <w:r w:rsidR="00BE7540" w:rsidRPr="00525C3E">
        <w:rPr>
          <w:i/>
        </w:rPr>
        <w:t xml:space="preserve">In re </w:t>
      </w:r>
      <w:r w:rsidRPr="00525C3E">
        <w:rPr>
          <w:rFonts w:cs="Arial"/>
          <w:i/>
          <w:szCs w:val="20"/>
        </w:rPr>
        <w:t>Barr</w:t>
      </w:r>
      <w:r w:rsidRPr="00525C3E">
        <w:rPr>
          <w:rFonts w:cs="Arial"/>
          <w:szCs w:val="20"/>
        </w:rPr>
        <w:t>,</w:t>
      </w:r>
      <w:r w:rsidRPr="00525C3E">
        <w:rPr>
          <w:rFonts w:cs="Arial"/>
          <w:szCs w:val="20"/>
          <w:vertAlign w:val="superscript"/>
        </w:rPr>
        <w:footnoteReference w:id="9"/>
      </w:r>
      <w:r w:rsidRPr="00525C3E">
        <w:rPr>
          <w:rFonts w:cs="Arial"/>
          <w:szCs w:val="20"/>
        </w:rPr>
        <w:t xml:space="preserve"> </w:t>
      </w:r>
      <w:r w:rsidR="00BE7540" w:rsidRPr="00525C3E">
        <w:rPr>
          <w:rFonts w:cs="Arial"/>
          <w:i/>
          <w:szCs w:val="20"/>
        </w:rPr>
        <w:t>In re</w:t>
      </w:r>
      <w:r w:rsidRPr="00525C3E">
        <w:rPr>
          <w:rFonts w:cs="Arial"/>
          <w:szCs w:val="20"/>
        </w:rPr>
        <w:t xml:space="preserve"> </w:t>
      </w:r>
      <w:r w:rsidRPr="00525C3E">
        <w:rPr>
          <w:rFonts w:cs="Arial"/>
          <w:i/>
          <w:szCs w:val="20"/>
        </w:rPr>
        <w:t>Johnson</w:t>
      </w:r>
      <w:r w:rsidRPr="00525C3E">
        <w:rPr>
          <w:rFonts w:cs="Arial"/>
          <w:szCs w:val="20"/>
        </w:rPr>
        <w:t>,</w:t>
      </w:r>
      <w:r w:rsidR="00BE7540" w:rsidRPr="00525C3E">
        <w:rPr>
          <w:rFonts w:cs="Arial"/>
          <w:szCs w:val="20"/>
          <w:vertAlign w:val="superscript"/>
        </w:rPr>
        <w:footnoteReference w:id="10"/>
      </w:r>
      <w:r w:rsidRPr="00525C3E">
        <w:rPr>
          <w:rFonts w:cs="Arial"/>
          <w:szCs w:val="20"/>
        </w:rPr>
        <w:t xml:space="preserve"> at least to a degree; </w:t>
      </w:r>
      <w:r w:rsidR="005668EA" w:rsidRPr="00525C3E">
        <w:rPr>
          <w:rFonts w:cs="Arial"/>
          <w:szCs w:val="20"/>
        </w:rPr>
        <w:t xml:space="preserve">and </w:t>
      </w:r>
      <w:r w:rsidRPr="00525C3E">
        <w:rPr>
          <w:rFonts w:cs="Arial"/>
          <w:szCs w:val="20"/>
        </w:rPr>
        <w:t xml:space="preserve">the court in </w:t>
      </w:r>
      <w:r w:rsidRPr="00525C3E">
        <w:rPr>
          <w:rFonts w:cs="Arial"/>
          <w:i/>
          <w:szCs w:val="20"/>
        </w:rPr>
        <w:t>In re Farrar-Johnson</w:t>
      </w:r>
      <w:r w:rsidRPr="00525C3E">
        <w:rPr>
          <w:rFonts w:cs="Arial"/>
          <w:szCs w:val="20"/>
        </w:rPr>
        <w:t>,</w:t>
      </w:r>
      <w:r w:rsidR="00BE7540" w:rsidRPr="00525C3E">
        <w:rPr>
          <w:rFonts w:cs="Arial"/>
          <w:szCs w:val="20"/>
          <w:vertAlign w:val="superscript"/>
        </w:rPr>
        <w:footnoteReference w:id="11"/>
      </w:r>
      <w:r w:rsidRPr="00525C3E">
        <w:rPr>
          <w:rFonts w:cs="Arial"/>
          <w:szCs w:val="20"/>
        </w:rPr>
        <w:t xml:space="preserve"> which opined that disposable income is simple arithmetic based on 11 U.S.C. § 707(b)(2)(A) and (B) and that a debtor’s good faith in claiming them cannot be relevant</w:t>
      </w:r>
      <w:r w:rsidR="005668EA" w:rsidRPr="00525C3E">
        <w:rPr>
          <w:rFonts w:cs="Arial"/>
          <w:szCs w:val="20"/>
        </w:rPr>
        <w:t>.</w:t>
      </w:r>
    </w:p>
    <w:p w:rsidR="000E7544" w:rsidRPr="00525C3E" w:rsidRDefault="000E7544" w:rsidP="00222EF0">
      <w:pPr>
        <w:ind w:firstLine="720"/>
        <w:rPr>
          <w:rFonts w:cs="Arial"/>
          <w:szCs w:val="20"/>
        </w:rPr>
      </w:pPr>
    </w:p>
    <w:p w:rsidR="00886FBB" w:rsidRPr="00525C3E" w:rsidRDefault="00332267" w:rsidP="00222EF0">
      <w:pPr>
        <w:ind w:firstLine="720"/>
        <w:rPr>
          <w:rFonts w:cs="Arial"/>
          <w:szCs w:val="20"/>
        </w:rPr>
      </w:pPr>
      <w:r w:rsidRPr="00525C3E">
        <w:rPr>
          <w:rFonts w:cs="Arial"/>
          <w:i/>
          <w:szCs w:val="20"/>
        </w:rPr>
        <w:t>In re Martin</w:t>
      </w:r>
      <w:r w:rsidRPr="00525C3E">
        <w:rPr>
          <w:rFonts w:cs="Arial"/>
          <w:szCs w:val="20"/>
        </w:rPr>
        <w:t>, 373 B.R. 731 (Bankr. D. Utah 2007) (</w:t>
      </w:r>
      <w:r w:rsidR="00886FBB" w:rsidRPr="00525C3E">
        <w:rPr>
          <w:rFonts w:cs="Arial"/>
          <w:szCs w:val="20"/>
        </w:rPr>
        <w:t>opining that a good faith inquiry is governed by a totality of the circumsta</w:t>
      </w:r>
      <w:r w:rsidR="00632E23" w:rsidRPr="00525C3E">
        <w:rPr>
          <w:rFonts w:cs="Arial"/>
          <w:szCs w:val="20"/>
        </w:rPr>
        <w:t>nces test, often described as “‘</w:t>
      </w:r>
      <w:r w:rsidR="00886FBB" w:rsidRPr="00525C3E">
        <w:rPr>
          <w:rFonts w:cs="Arial"/>
          <w:szCs w:val="20"/>
        </w:rPr>
        <w:t>smell test</w:t>
      </w:r>
      <w:r w:rsidR="00632E23" w:rsidRPr="00525C3E">
        <w:rPr>
          <w:rFonts w:cs="Arial"/>
          <w:szCs w:val="20"/>
        </w:rPr>
        <w:t>,</w:t>
      </w:r>
      <w:r w:rsidR="00886FBB" w:rsidRPr="00525C3E">
        <w:rPr>
          <w:rFonts w:cs="Arial"/>
          <w:szCs w:val="20"/>
        </w:rPr>
        <w:t>’</w:t>
      </w:r>
      <w:r w:rsidR="004C21AF" w:rsidRPr="00525C3E">
        <w:rPr>
          <w:rFonts w:cs="Arial"/>
          <w:szCs w:val="20"/>
        </w:rPr>
        <w:t>”</w:t>
      </w:r>
      <w:r w:rsidR="00886FBB" w:rsidRPr="00525C3E">
        <w:rPr>
          <w:rFonts w:cs="Arial"/>
          <w:szCs w:val="20"/>
        </w:rPr>
        <w:t xml:space="preserve"> and that the mere fact that an expense is allowable does not except it from good faith scrutiny).</w:t>
      </w:r>
    </w:p>
    <w:p w:rsidR="00886FBB" w:rsidRPr="00525C3E" w:rsidRDefault="00886FBB" w:rsidP="00222EF0">
      <w:pPr>
        <w:ind w:firstLine="720"/>
        <w:rPr>
          <w:rFonts w:cs="Arial"/>
          <w:szCs w:val="20"/>
        </w:rPr>
      </w:pPr>
    </w:p>
    <w:p w:rsidR="005668EA" w:rsidRPr="00525C3E" w:rsidRDefault="00E8390C" w:rsidP="00222EF0">
      <w:pPr>
        <w:ind w:firstLine="720"/>
        <w:rPr>
          <w:rFonts w:cs="Arial"/>
          <w:szCs w:val="20"/>
        </w:rPr>
      </w:pPr>
      <w:r w:rsidRPr="00525C3E">
        <w:rPr>
          <w:rFonts w:cs="Arial"/>
          <w:i/>
          <w:szCs w:val="20"/>
        </w:rPr>
        <w:lastRenderedPageBreak/>
        <w:t>In re Anderson</w:t>
      </w:r>
      <w:r w:rsidRPr="00525C3E">
        <w:rPr>
          <w:rFonts w:cs="Arial"/>
          <w:szCs w:val="20"/>
        </w:rPr>
        <w:t xml:space="preserve">, 367 B.R. 727 (Bankr. D. Kan. 2007) (opining that </w:t>
      </w:r>
      <w:r w:rsidR="009075FE" w:rsidRPr="00525C3E">
        <w:rPr>
          <w:rFonts w:cs="Arial"/>
          <w:szCs w:val="20"/>
        </w:rPr>
        <w:t>because a plan payment is made pursuant to 11 U.S.C. § 1325(b), a court does not consider the debtor’s ability to pay in determining good faith pursuant to 11 U.S.C. § 1325(a)(3)).</w:t>
      </w:r>
    </w:p>
    <w:p w:rsidR="00DB70F5" w:rsidRPr="00525C3E" w:rsidRDefault="00DB70F5" w:rsidP="00222EF0">
      <w:pPr>
        <w:ind w:firstLine="720"/>
        <w:rPr>
          <w:rFonts w:cs="Arial"/>
          <w:szCs w:val="20"/>
        </w:rPr>
      </w:pPr>
    </w:p>
    <w:p w:rsidR="00DB70F5" w:rsidRPr="00525C3E" w:rsidRDefault="00437D45" w:rsidP="00222EF0">
      <w:pPr>
        <w:ind w:firstLine="720"/>
        <w:rPr>
          <w:rFonts w:cs="Arial"/>
          <w:szCs w:val="20"/>
        </w:rPr>
      </w:pPr>
      <w:r w:rsidRPr="00525C3E">
        <w:rPr>
          <w:rFonts w:cs="Arial"/>
          <w:i/>
          <w:szCs w:val="20"/>
        </w:rPr>
        <w:t>In re Sallee,</w:t>
      </w:r>
      <w:r w:rsidRPr="00525C3E">
        <w:rPr>
          <w:rFonts w:cs="Arial"/>
          <w:szCs w:val="20"/>
        </w:rPr>
        <w:t xml:space="preserve"> No. 07-30776, 2007 Bankr. LEXIS 4188 (Bankr. S.D. Ill. Nov. 15, 2007).  </w:t>
      </w:r>
      <w:r w:rsidR="008303CD" w:rsidRPr="00525C3E">
        <w:rPr>
          <w:rFonts w:cs="Arial"/>
          <w:szCs w:val="20"/>
        </w:rPr>
        <w:t xml:space="preserve">The trustee objected to confirmation and contended that the debtors should be compelled to surrender two of their four vehicles.  </w:t>
      </w:r>
      <w:r w:rsidRPr="00525C3E">
        <w:rPr>
          <w:rFonts w:cs="Arial"/>
          <w:szCs w:val="20"/>
        </w:rPr>
        <w:t xml:space="preserve">Because </w:t>
      </w:r>
      <w:r w:rsidRPr="00525C3E">
        <w:rPr>
          <w:szCs w:val="20"/>
        </w:rPr>
        <w:t>§</w:t>
      </w:r>
      <w:r w:rsidRPr="00525C3E">
        <w:rPr>
          <w:rFonts w:cs="Arial"/>
          <w:szCs w:val="20"/>
        </w:rPr>
        <w:t xml:space="preserve"> 707(b)(2)(A)(iii)(I) permits </w:t>
      </w:r>
      <w:r w:rsidR="00DB70F5" w:rsidRPr="00525C3E">
        <w:rPr>
          <w:rFonts w:cs="Arial"/>
          <w:szCs w:val="20"/>
        </w:rPr>
        <w:t>deduction of</w:t>
      </w:r>
      <w:r w:rsidRPr="00525C3E">
        <w:rPr>
          <w:rFonts w:cs="Arial"/>
          <w:szCs w:val="20"/>
        </w:rPr>
        <w:t xml:space="preserve"> secured debt payments in determining disposable income, the court is precluded from reviewing the reasonableness or necessity of those payments.</w:t>
      </w:r>
      <w:r w:rsidR="00DB70F5" w:rsidRPr="00525C3E">
        <w:rPr>
          <w:rFonts w:cs="Arial"/>
          <w:szCs w:val="20"/>
        </w:rPr>
        <w:t xml:space="preserve">  However, </w:t>
      </w:r>
      <w:r w:rsidR="00DB70F5" w:rsidRPr="00525C3E">
        <w:rPr>
          <w:szCs w:val="20"/>
        </w:rPr>
        <w:t>§ 1325(a)(3) and (7) still apply after enactment of BAPCPA, and the court may apply these good faith standards in reviewing the debtors’ plan and petition.  The vehicles the debtors proposed to keep were not extravagant and were reasonable considering the number of drivers in the household.</w:t>
      </w:r>
      <w:r w:rsidR="005377E1" w:rsidRPr="00525C3E">
        <w:rPr>
          <w:szCs w:val="20"/>
        </w:rPr>
        <w:t xml:space="preserve">  The trustee’s objection was overruled.</w:t>
      </w:r>
      <w:r w:rsidRPr="00525C3E">
        <w:rPr>
          <w:rFonts w:cs="Arial"/>
          <w:szCs w:val="20"/>
        </w:rPr>
        <w:t xml:space="preserve">  </w:t>
      </w:r>
    </w:p>
    <w:p w:rsidR="00DB70F5" w:rsidRPr="00525C3E" w:rsidRDefault="00DB70F5" w:rsidP="00222EF0">
      <w:pPr>
        <w:ind w:firstLine="720"/>
        <w:rPr>
          <w:rFonts w:cs="Arial"/>
          <w:szCs w:val="20"/>
        </w:rPr>
      </w:pPr>
    </w:p>
    <w:p w:rsidR="008303CD" w:rsidRPr="00525C3E" w:rsidRDefault="008303CD" w:rsidP="00222EF0">
      <w:pPr>
        <w:ind w:firstLine="720"/>
        <w:rPr>
          <w:rFonts w:cs="Arial"/>
          <w:szCs w:val="20"/>
        </w:rPr>
      </w:pPr>
      <w:r w:rsidRPr="00525C3E">
        <w:rPr>
          <w:rFonts w:cs="Arial"/>
          <w:i/>
          <w:szCs w:val="20"/>
        </w:rPr>
        <w:t>In re Franco</w:t>
      </w:r>
      <w:r w:rsidRPr="00525C3E">
        <w:rPr>
          <w:rFonts w:cs="Arial"/>
          <w:szCs w:val="20"/>
        </w:rPr>
        <w:t>, No. 07-30741, 2008 Bankr. LEXIS 409 (Bankr. S.D. Ill. Feb. 12, 2008).</w:t>
      </w:r>
    </w:p>
    <w:p w:rsidR="00437D45" w:rsidRPr="00525C3E" w:rsidRDefault="008303CD" w:rsidP="008303CD">
      <w:pPr>
        <w:rPr>
          <w:rFonts w:cs="Arial"/>
          <w:szCs w:val="20"/>
        </w:rPr>
      </w:pPr>
      <w:r w:rsidRPr="00525C3E">
        <w:rPr>
          <w:rFonts w:cs="Arial"/>
          <w:szCs w:val="20"/>
        </w:rPr>
        <w:t>The trustee argued that the debtors should be compelled to surrender one of their three encumbered vehicles as it was not reasonably necessary for the debtors to retain them.</w:t>
      </w:r>
      <w:r w:rsidR="005377E1" w:rsidRPr="00525C3E">
        <w:rPr>
          <w:rFonts w:cs="Arial"/>
          <w:szCs w:val="20"/>
        </w:rPr>
        <w:t xml:space="preserve">  Because of</w:t>
      </w:r>
      <w:r w:rsidR="00437D45" w:rsidRPr="00525C3E">
        <w:rPr>
          <w:rFonts w:cs="Arial"/>
          <w:szCs w:val="20"/>
        </w:rPr>
        <w:t xml:space="preserve"> </w:t>
      </w:r>
      <w:r w:rsidR="005377E1" w:rsidRPr="00525C3E">
        <w:rPr>
          <w:szCs w:val="20"/>
        </w:rPr>
        <w:t>§</w:t>
      </w:r>
      <w:r w:rsidR="005377E1" w:rsidRPr="00525C3E">
        <w:rPr>
          <w:rFonts w:cs="Arial"/>
          <w:szCs w:val="20"/>
        </w:rPr>
        <w:t xml:space="preserve"> 707(b)(2)(A)(iii)(I), the court can no longer make a subjective determination of what is “reasonably necessary.”  However, a court may still make a good faith determination.  Because the trustee’s good faith challenge relied solely upon whether the expense was reasonable and/or necessary, the trustee’s objection was overruled.  </w:t>
      </w:r>
    </w:p>
    <w:p w:rsidR="001617C8" w:rsidRPr="00525C3E" w:rsidRDefault="00631A49" w:rsidP="00835A38">
      <w:pPr>
        <w:pStyle w:val="Heading1"/>
        <w:numPr>
          <w:ilvl w:val="0"/>
          <w:numId w:val="18"/>
        </w:numPr>
        <w:rPr>
          <w:rFonts w:ascii="Times New Roman" w:hAnsi="Times New Roman"/>
          <w:sz w:val="24"/>
        </w:rPr>
      </w:pPr>
      <w:r w:rsidRPr="00525C3E">
        <w:rPr>
          <w:rFonts w:ascii="Times New Roman" w:hAnsi="Times New Roman"/>
          <w:sz w:val="24"/>
        </w:rPr>
        <w:t>APPLICABLE COMMITMENT PERIOD</w:t>
      </w:r>
    </w:p>
    <w:p w:rsidR="001617C8" w:rsidRPr="00525C3E" w:rsidRDefault="001617C8" w:rsidP="001617C8">
      <w:pPr>
        <w:ind w:firstLine="720"/>
      </w:pPr>
    </w:p>
    <w:p w:rsidR="001617C8" w:rsidRPr="00525C3E" w:rsidRDefault="001617C8" w:rsidP="001617C8">
      <w:pPr>
        <w:ind w:firstLine="720"/>
        <w:rPr>
          <w:szCs w:val="28"/>
        </w:rPr>
      </w:pPr>
      <w:r w:rsidRPr="00525C3E">
        <w:rPr>
          <w:szCs w:val="28"/>
        </w:rPr>
        <w:t>A clear majority of courts find that “applicable commitment period” is a requisite length of time set by statute, intended by Congress to determine the requi</w:t>
      </w:r>
      <w:r w:rsidR="00594AD3" w:rsidRPr="00525C3E">
        <w:rPr>
          <w:szCs w:val="28"/>
        </w:rPr>
        <w:t>red duration of a debtor’s plan</w:t>
      </w:r>
      <w:r w:rsidRPr="00525C3E">
        <w:rPr>
          <w:szCs w:val="28"/>
        </w:rPr>
        <w:t xml:space="preserve"> and that its length is determined by a debtor’s </w:t>
      </w:r>
      <w:r w:rsidR="008F7B66" w:rsidRPr="00525C3E">
        <w:rPr>
          <w:szCs w:val="28"/>
        </w:rPr>
        <w:t>CMI</w:t>
      </w:r>
      <w:r w:rsidRPr="00525C3E">
        <w:rPr>
          <w:szCs w:val="28"/>
        </w:rPr>
        <w:t xml:space="preserve"> rather than his projected disposable income, at least when projected disposable income is greater than zero.</w:t>
      </w:r>
    </w:p>
    <w:p w:rsidR="001617C8" w:rsidRPr="00525C3E" w:rsidRDefault="001617C8" w:rsidP="001617C8">
      <w:pPr>
        <w:ind w:firstLine="720"/>
        <w:rPr>
          <w:szCs w:val="28"/>
        </w:rPr>
      </w:pPr>
    </w:p>
    <w:p w:rsidR="0021253C" w:rsidRPr="00525C3E" w:rsidRDefault="0021253C" w:rsidP="0021253C">
      <w:pPr>
        <w:ind w:firstLine="720"/>
        <w:rPr>
          <w:b/>
          <w:szCs w:val="28"/>
        </w:rPr>
      </w:pPr>
      <w:r w:rsidRPr="00525C3E">
        <w:rPr>
          <w:b/>
          <w:szCs w:val="28"/>
        </w:rPr>
        <w:t>A.</w:t>
      </w:r>
      <w:r w:rsidRPr="00525C3E">
        <w:rPr>
          <w:b/>
          <w:szCs w:val="28"/>
        </w:rPr>
        <w:tab/>
      </w:r>
      <w:r w:rsidRPr="00525C3E">
        <w:rPr>
          <w:b/>
          <w:szCs w:val="28"/>
          <w:u w:val="single"/>
        </w:rPr>
        <w:t>Appellate Review</w:t>
      </w:r>
    </w:p>
    <w:p w:rsidR="0021253C" w:rsidRPr="00525C3E" w:rsidRDefault="0021253C" w:rsidP="0021253C">
      <w:pPr>
        <w:jc w:val="center"/>
        <w:rPr>
          <w:szCs w:val="28"/>
        </w:rPr>
      </w:pPr>
    </w:p>
    <w:p w:rsidR="001617C8" w:rsidRPr="00525C3E" w:rsidRDefault="001617C8" w:rsidP="001617C8">
      <w:pPr>
        <w:ind w:firstLine="720"/>
        <w:rPr>
          <w:szCs w:val="28"/>
        </w:rPr>
      </w:pPr>
      <w:r w:rsidRPr="00525C3E">
        <w:rPr>
          <w:i/>
        </w:rPr>
        <w:t>Maney v. Kagenveama</w:t>
      </w:r>
      <w:r w:rsidRPr="00525C3E">
        <w:t xml:space="preserve"> (</w:t>
      </w:r>
      <w:r w:rsidRPr="00525C3E">
        <w:rPr>
          <w:i/>
        </w:rPr>
        <w:t>In re Kagenveama</w:t>
      </w:r>
      <w:r w:rsidRPr="00525C3E">
        <w:t>), 527 F.3d 990 (</w:t>
      </w:r>
      <w:r w:rsidR="006746AA" w:rsidRPr="00525C3E">
        <w:t xml:space="preserve">9th </w:t>
      </w:r>
      <w:r w:rsidRPr="00525C3E">
        <w:t>Cir. 2008) (finding applicable commitment period to be a period of time during which a debtor must pay her projected disposable income to her unsecured creditors, but that in the absence of projected disposable income, there is n</w:t>
      </w:r>
      <w:r w:rsidR="004F57BC" w:rsidRPr="00525C3E">
        <w:t xml:space="preserve">o applicable commitment period); </w:t>
      </w:r>
      <w:r w:rsidRPr="00525C3E">
        <w:rPr>
          <w:i/>
        </w:rPr>
        <w:t>Coop v. Frederickson</w:t>
      </w:r>
      <w:r w:rsidRPr="00525C3E">
        <w:t xml:space="preserve"> (</w:t>
      </w:r>
      <w:r w:rsidRPr="00525C3E">
        <w:rPr>
          <w:i/>
        </w:rPr>
        <w:t>In re Frederickson</w:t>
      </w:r>
      <w:r w:rsidRPr="00525C3E">
        <w:t>), 545 F.3d 652 (8th Cir. 2008) (finding applicable commitment period to be temporal if projected</w:t>
      </w:r>
      <w:r w:rsidR="004F57BC" w:rsidRPr="00525C3E">
        <w:t xml:space="preserve"> disposable income is positive); </w:t>
      </w:r>
      <w:r w:rsidRPr="00525C3E">
        <w:rPr>
          <w:i/>
          <w:szCs w:val="28"/>
        </w:rPr>
        <w:t xml:space="preserve">Fridley v. Forsythe </w:t>
      </w:r>
      <w:r w:rsidRPr="00525C3E">
        <w:rPr>
          <w:szCs w:val="28"/>
        </w:rPr>
        <w:t>(</w:t>
      </w:r>
      <w:r w:rsidRPr="00525C3E">
        <w:rPr>
          <w:i/>
          <w:szCs w:val="28"/>
        </w:rPr>
        <w:t>In re Fridley</w:t>
      </w:r>
      <w:r w:rsidRPr="00525C3E">
        <w:rPr>
          <w:szCs w:val="28"/>
        </w:rPr>
        <w:t>), 380 B.R. 538, 543-44 (B.A.P. 9th</w:t>
      </w:r>
      <w:r w:rsidR="00594AD3" w:rsidRPr="00525C3E">
        <w:rPr>
          <w:szCs w:val="28"/>
        </w:rPr>
        <w:t xml:space="preserve"> Cir. 2007) (finding nothing in statutory structure to suggest that Congress intended to alter pre-BAPCPA requirement of temporal plan dur</w:t>
      </w:r>
      <w:r w:rsidR="0048672C" w:rsidRPr="00525C3E">
        <w:rPr>
          <w:szCs w:val="28"/>
        </w:rPr>
        <w:t xml:space="preserve">ation); </w:t>
      </w:r>
      <w:r w:rsidR="00BA1D56" w:rsidRPr="00525C3E">
        <w:rPr>
          <w:i/>
        </w:rPr>
        <w:t>Baud v. Carroll</w:t>
      </w:r>
      <w:r w:rsidR="00BA1D56" w:rsidRPr="00525C3E">
        <w:t xml:space="preserve">, No. 09-10673, 2009 U.S. Dist. LEXIS 79475 (E.D. Mich. Sept. 3, 2009) (finding that applicable commitment period is temporal mandating plan length so long as there is projected disposable income); </w:t>
      </w:r>
      <w:r w:rsidR="0048672C" w:rsidRPr="00525C3E">
        <w:rPr>
          <w:i/>
          <w:szCs w:val="28"/>
        </w:rPr>
        <w:t>In re Lanning</w:t>
      </w:r>
      <w:r w:rsidR="0048672C" w:rsidRPr="00525C3E">
        <w:rPr>
          <w:szCs w:val="28"/>
        </w:rPr>
        <w:t>, No. 06-41037, 2007 Bankr. LEXIS 1639 (Bankr. D. Kan. May 15, 2007)</w:t>
      </w:r>
      <w:r w:rsidR="0048672C" w:rsidRPr="00525C3E">
        <w:rPr>
          <w:szCs w:val="28"/>
        </w:rPr>
        <w:fldChar w:fldCharType="begin"/>
      </w:r>
      <w:r w:rsidR="0048672C" w:rsidRPr="00525C3E">
        <w:instrText xml:space="preserve"> TA \l "</w:instrText>
      </w:r>
      <w:r w:rsidR="0048672C" w:rsidRPr="00525C3E">
        <w:rPr>
          <w:i/>
          <w:szCs w:val="28"/>
        </w:rPr>
        <w:instrText>In re Lanning</w:instrText>
      </w:r>
      <w:r w:rsidR="0048672C" w:rsidRPr="00525C3E">
        <w:rPr>
          <w:szCs w:val="28"/>
        </w:rPr>
        <w:instrText>, No. 06-41037, 2007 Bankr. LEXIS 1639 (Bankr. D. Kan. May 15, 2007)</w:instrText>
      </w:r>
      <w:r w:rsidR="0048672C" w:rsidRPr="00525C3E">
        <w:instrText xml:space="preserve">" \s "Lanning, No. 06-41037, 2007 Bankr. LEXIS 1639" \c 1 </w:instrText>
      </w:r>
      <w:r w:rsidR="0048672C" w:rsidRPr="00525C3E">
        <w:rPr>
          <w:szCs w:val="28"/>
        </w:rPr>
        <w:fldChar w:fldCharType="end"/>
      </w:r>
      <w:r w:rsidR="0048672C" w:rsidRPr="00525C3E">
        <w:rPr>
          <w:szCs w:val="28"/>
        </w:rPr>
        <w:t xml:space="preserve"> (“The Code does not require a set dividend to unsecured creditors, only a minimum number of months for debtors to commit their projected disposable income to payment into their Chapter 13 plan.”), </w:t>
      </w:r>
      <w:r w:rsidR="00A65368" w:rsidRPr="00525C3E">
        <w:rPr>
          <w:i/>
          <w:szCs w:val="28"/>
        </w:rPr>
        <w:t>aff’</w:t>
      </w:r>
      <w:r w:rsidR="0048672C" w:rsidRPr="00525C3E">
        <w:rPr>
          <w:i/>
          <w:szCs w:val="28"/>
        </w:rPr>
        <w:t>d on other grounds</w:t>
      </w:r>
      <w:r w:rsidR="0048672C" w:rsidRPr="00525C3E">
        <w:rPr>
          <w:szCs w:val="28"/>
        </w:rPr>
        <w:t>, 380 B.R. 17 (</w:t>
      </w:r>
      <w:r w:rsidR="006746AA" w:rsidRPr="00525C3E">
        <w:rPr>
          <w:szCs w:val="28"/>
        </w:rPr>
        <w:t>B.A.P. 10th Cir. 2007)</w:t>
      </w:r>
      <w:r w:rsidR="00C01BC4" w:rsidRPr="00525C3E">
        <w:rPr>
          <w:szCs w:val="28"/>
        </w:rPr>
        <w:t xml:space="preserve"> </w:t>
      </w:r>
      <w:r w:rsidR="00C01BC4" w:rsidRPr="00525C3E">
        <w:rPr>
          <w:i/>
        </w:rPr>
        <w:t>cert. granted</w:t>
      </w:r>
      <w:r w:rsidR="00C01BC4" w:rsidRPr="00525C3E">
        <w:t>, No. 08-998 (Nov. 2, 2009) (oral argument held March 22, 2010).</w:t>
      </w:r>
    </w:p>
    <w:p w:rsidR="001617C8" w:rsidRPr="00525C3E" w:rsidRDefault="001617C8" w:rsidP="001617C8">
      <w:pPr>
        <w:ind w:left="1440" w:right="1440"/>
        <w:jc w:val="both"/>
        <w:rPr>
          <w:szCs w:val="28"/>
        </w:rPr>
      </w:pPr>
    </w:p>
    <w:p w:rsidR="0021253C" w:rsidRPr="00525C3E" w:rsidRDefault="0021253C" w:rsidP="0021253C">
      <w:pPr>
        <w:rPr>
          <w:b/>
          <w:szCs w:val="28"/>
        </w:rPr>
      </w:pPr>
      <w:r w:rsidRPr="00525C3E">
        <w:rPr>
          <w:szCs w:val="28"/>
        </w:rPr>
        <w:tab/>
      </w:r>
      <w:r w:rsidRPr="00525C3E">
        <w:rPr>
          <w:b/>
          <w:szCs w:val="28"/>
        </w:rPr>
        <w:t>B.</w:t>
      </w:r>
      <w:r w:rsidRPr="00525C3E">
        <w:rPr>
          <w:b/>
          <w:szCs w:val="28"/>
        </w:rPr>
        <w:tab/>
      </w:r>
      <w:r w:rsidRPr="00525C3E">
        <w:rPr>
          <w:b/>
          <w:szCs w:val="28"/>
          <w:u w:val="single"/>
        </w:rPr>
        <w:t>Bankruptcy Court Review</w:t>
      </w:r>
    </w:p>
    <w:p w:rsidR="0021253C" w:rsidRPr="00525C3E" w:rsidRDefault="0021253C" w:rsidP="0021253C">
      <w:pPr>
        <w:rPr>
          <w:szCs w:val="28"/>
        </w:rPr>
      </w:pPr>
    </w:p>
    <w:p w:rsidR="00E379B6" w:rsidRPr="00675BAC" w:rsidRDefault="0083275C" w:rsidP="00C17FFD">
      <w:pPr>
        <w:ind w:firstLine="720"/>
        <w:rPr>
          <w:szCs w:val="28"/>
        </w:rPr>
      </w:pPr>
      <w:r w:rsidRPr="00525C3E">
        <w:rPr>
          <w:i/>
          <w:szCs w:val="28"/>
        </w:rPr>
        <w:t>In re Turner</w:t>
      </w:r>
      <w:r w:rsidRPr="00525C3E">
        <w:rPr>
          <w:szCs w:val="28"/>
        </w:rPr>
        <w:t>, No. 07-10929, 2010 Bankr. LEXIS 918 (Bankr. S.D. Ga. March 17, 2010) (finding a</w:t>
      </w:r>
      <w:r w:rsidR="00C739E4" w:rsidRPr="00525C3E">
        <w:rPr>
          <w:szCs w:val="28"/>
        </w:rPr>
        <w:t xml:space="preserve">pplicable commitment period is </w:t>
      </w:r>
      <w:r w:rsidRPr="00525C3E">
        <w:rPr>
          <w:szCs w:val="28"/>
        </w:rPr>
        <w:t>temporal requirement based on statutory language</w:t>
      </w:r>
      <w:r w:rsidR="005B6AFA" w:rsidRPr="00525C3E">
        <w:rPr>
          <w:szCs w:val="28"/>
        </w:rPr>
        <w:t>, even where disposable income is negative</w:t>
      </w:r>
      <w:r w:rsidRPr="00525C3E">
        <w:rPr>
          <w:szCs w:val="28"/>
        </w:rPr>
        <w:t>);</w:t>
      </w:r>
      <w:r w:rsidRPr="00525C3E">
        <w:rPr>
          <w:i/>
          <w:szCs w:val="28"/>
        </w:rPr>
        <w:t xml:space="preserve"> </w:t>
      </w:r>
      <w:r w:rsidR="002A7C68" w:rsidRPr="00525C3E">
        <w:rPr>
          <w:i/>
          <w:szCs w:val="28"/>
        </w:rPr>
        <w:t>In re Meadows</w:t>
      </w:r>
      <w:r w:rsidR="002A7C68" w:rsidRPr="00525C3E">
        <w:rPr>
          <w:szCs w:val="28"/>
        </w:rPr>
        <w:t xml:space="preserve">, </w:t>
      </w:r>
      <w:r w:rsidR="00525FFB" w:rsidRPr="00525C3E">
        <w:rPr>
          <w:szCs w:val="28"/>
        </w:rPr>
        <w:t xml:space="preserve">410 B.R. 242 </w:t>
      </w:r>
      <w:r w:rsidR="002A7C68" w:rsidRPr="00525C3E">
        <w:rPr>
          <w:szCs w:val="28"/>
        </w:rPr>
        <w:t>(Bankr. N.D. Tex. 2009) (finding that applicable commitment period is temporal and plan must run for sixty months even if debtor has no projected disposable income);</w:t>
      </w:r>
      <w:r w:rsidR="002A7C68" w:rsidRPr="00525C3E">
        <w:rPr>
          <w:i/>
          <w:szCs w:val="28"/>
        </w:rPr>
        <w:t xml:space="preserve"> </w:t>
      </w:r>
      <w:r w:rsidR="0048672C" w:rsidRPr="00525C3E">
        <w:rPr>
          <w:i/>
          <w:szCs w:val="28"/>
        </w:rPr>
        <w:t xml:space="preserve">In re Sanchez, </w:t>
      </w:r>
      <w:r w:rsidR="0048672C" w:rsidRPr="00525C3E">
        <w:rPr>
          <w:szCs w:val="28"/>
        </w:rPr>
        <w:t xml:space="preserve">394 B.R 574 (Bankr. D. Colo. 2008) (noting that, following the majority view, applicable commitment period is temporal, even if the projected disposable income is found to be $0.00); </w:t>
      </w:r>
      <w:r w:rsidR="004F57BC" w:rsidRPr="00525C3E">
        <w:rPr>
          <w:i/>
          <w:szCs w:val="28"/>
        </w:rPr>
        <w:t>In re Strickland</w:t>
      </w:r>
      <w:r w:rsidR="004F57BC" w:rsidRPr="00525C3E">
        <w:rPr>
          <w:szCs w:val="28"/>
        </w:rPr>
        <w:t>, No. 06-81060, 2007 Bankr. LEXIS 508 (Bankr. M.D.N.C. Feb. 13, 2007)</w:t>
      </w:r>
      <w:r w:rsidR="004F57BC" w:rsidRPr="00525C3E">
        <w:rPr>
          <w:szCs w:val="28"/>
        </w:rPr>
        <w:fldChar w:fldCharType="begin"/>
      </w:r>
      <w:r w:rsidR="004F57BC" w:rsidRPr="00525C3E">
        <w:instrText xml:space="preserve"> TA \l "</w:instrText>
      </w:r>
      <w:r w:rsidR="004F57BC" w:rsidRPr="00525C3E">
        <w:rPr>
          <w:i/>
          <w:szCs w:val="28"/>
        </w:rPr>
        <w:instrText>In re Strickland</w:instrText>
      </w:r>
      <w:r w:rsidR="004F57BC" w:rsidRPr="00525C3E">
        <w:rPr>
          <w:szCs w:val="28"/>
        </w:rPr>
        <w:instrText>, No. 06-81060, 2007 Bankr. LEXIS 508 (Bankr. M.D.N.C. Feb. 13, 2007)</w:instrText>
      </w:r>
      <w:r w:rsidR="004F57BC" w:rsidRPr="00525C3E">
        <w:instrText xml:space="preserve">" \s "Strickland, No. 06-81060, 2007 Bankr. LEXIS 508" \c 1 </w:instrText>
      </w:r>
      <w:r w:rsidR="004F57BC" w:rsidRPr="00525C3E">
        <w:rPr>
          <w:szCs w:val="28"/>
        </w:rPr>
        <w:fldChar w:fldCharType="end"/>
      </w:r>
      <w:r w:rsidR="004F57BC" w:rsidRPr="00525C3E">
        <w:rPr>
          <w:szCs w:val="28"/>
        </w:rPr>
        <w:t xml:space="preserve"> (finding that if an objection to confirmation is filed “a specific plan duration of 60 months is required … without regard to whether such debtor's Form B22C reflects positive disposable monthly income unless the plan provides for payment in full of all allowed unsecured claims over a shorter period.”)</w:t>
      </w:r>
      <w:r w:rsidR="00646511" w:rsidRPr="00525C3E">
        <w:rPr>
          <w:szCs w:val="28"/>
        </w:rPr>
        <w:t xml:space="preserve">; </w:t>
      </w:r>
      <w:r w:rsidR="001617C8" w:rsidRPr="00525C3E">
        <w:rPr>
          <w:i/>
          <w:szCs w:val="28"/>
        </w:rPr>
        <w:t>In re Casey</w:t>
      </w:r>
      <w:r w:rsidR="001617C8" w:rsidRPr="00525C3E">
        <w:rPr>
          <w:szCs w:val="28"/>
        </w:rPr>
        <w:t>, 356 B.</w:t>
      </w:r>
      <w:r w:rsidR="00646511" w:rsidRPr="00525C3E">
        <w:rPr>
          <w:szCs w:val="28"/>
        </w:rPr>
        <w:t xml:space="preserve">R. 519 (Bankr. E.D. Wash. 2006) (noting that “[i]t is irrelevant whether the projected disposable income is zero or $1,000 or some other amount. If unsecured claims are not to be paid in full, the plan must have a length of </w:t>
      </w:r>
      <w:r w:rsidR="00C17FFD" w:rsidRPr="00525C3E">
        <w:rPr>
          <w:szCs w:val="28"/>
        </w:rPr>
        <w:t xml:space="preserve">. . . five (5) </w:t>
      </w:r>
      <w:r w:rsidR="00646511" w:rsidRPr="00525C3E">
        <w:rPr>
          <w:szCs w:val="28"/>
        </w:rPr>
        <w:t>years</w:t>
      </w:r>
      <w:r w:rsidR="00C17FFD" w:rsidRPr="00525C3E">
        <w:rPr>
          <w:szCs w:val="28"/>
        </w:rPr>
        <w:t xml:space="preserve"> for above-median income debtors.”).</w:t>
      </w:r>
    </w:p>
    <w:sectPr w:rsidR="00E379B6" w:rsidRPr="00675BAC" w:rsidSect="00C17FFD">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9D9" w:rsidRDefault="001639D9">
      <w:r>
        <w:separator/>
      </w:r>
    </w:p>
  </w:endnote>
  <w:endnote w:type="continuationSeparator" w:id="0">
    <w:p w:rsidR="001639D9" w:rsidRDefault="001639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381" w:rsidRDefault="00D25381" w:rsidP="00EE70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5381" w:rsidRDefault="00D253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381" w:rsidRDefault="00D25381" w:rsidP="00EE70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40C88">
      <w:rPr>
        <w:rStyle w:val="PageNumber"/>
        <w:noProof/>
      </w:rPr>
      <w:t>1</w:t>
    </w:r>
    <w:r>
      <w:rPr>
        <w:rStyle w:val="PageNumber"/>
      </w:rPr>
      <w:fldChar w:fldCharType="end"/>
    </w:r>
  </w:p>
  <w:p w:rsidR="00D25381" w:rsidRDefault="00D253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9D9" w:rsidRDefault="001639D9">
      <w:r>
        <w:separator/>
      </w:r>
    </w:p>
  </w:footnote>
  <w:footnote w:type="continuationSeparator" w:id="0">
    <w:p w:rsidR="001639D9" w:rsidRDefault="001639D9">
      <w:r>
        <w:continuationSeparator/>
      </w:r>
    </w:p>
  </w:footnote>
  <w:footnote w:id="1">
    <w:p w:rsidR="00D25381" w:rsidRPr="00525C3E" w:rsidRDefault="00D25381" w:rsidP="00D458B2">
      <w:pPr>
        <w:pStyle w:val="FootnoteText"/>
      </w:pPr>
      <w:r w:rsidRPr="00525C3E">
        <w:rPr>
          <w:rStyle w:val="FootnoteReference"/>
        </w:rPr>
        <w:footnoteRef/>
      </w:r>
      <w:r w:rsidRPr="00525C3E">
        <w:t xml:space="preserve"> The Code defines CMI in 11 U.S.C. § 101(10A).</w:t>
      </w:r>
    </w:p>
  </w:footnote>
  <w:footnote w:id="2">
    <w:p w:rsidR="00D25381" w:rsidRPr="00525C3E" w:rsidRDefault="00D25381" w:rsidP="00D458B2">
      <w:pPr>
        <w:pStyle w:val="FootnoteText"/>
      </w:pPr>
      <w:r w:rsidRPr="00525C3E">
        <w:rPr>
          <w:rStyle w:val="FootnoteReference"/>
        </w:rPr>
        <w:footnoteRef/>
      </w:r>
      <w:r w:rsidRPr="00525C3E">
        <w:t xml:space="preserve"> 11 U.S.C. § 1325(b)(2).</w:t>
      </w:r>
    </w:p>
  </w:footnote>
  <w:footnote w:id="3">
    <w:p w:rsidR="00D25381" w:rsidRPr="00525C3E" w:rsidRDefault="00D25381" w:rsidP="00D458B2">
      <w:pPr>
        <w:pStyle w:val="FootnoteText"/>
      </w:pPr>
      <w:r w:rsidRPr="00525C3E">
        <w:rPr>
          <w:rStyle w:val="FootnoteReference"/>
        </w:rPr>
        <w:footnoteRef/>
      </w:r>
      <w:r w:rsidRPr="00525C3E">
        <w:t xml:space="preserve"> 11 U.S.C. § 707(b)(2)(A)(ii)(I): “The debtor’s monthly expenses shall be the debtor’s applicable monthly expense amounts specified under the National Standards and Local Standards, and the debtor’s actual monthly expenses for the categories specified as Other Necessary Expenses issue by the Internal Revenue Service …,” given operation by 11 U.S.C. § 1325(b)(3).</w:t>
      </w:r>
    </w:p>
  </w:footnote>
  <w:footnote w:id="4">
    <w:p w:rsidR="00D25381" w:rsidRPr="00525C3E" w:rsidRDefault="00D25381">
      <w:pPr>
        <w:pStyle w:val="FootnoteText"/>
      </w:pPr>
      <w:r w:rsidRPr="00525C3E">
        <w:rPr>
          <w:rStyle w:val="FootnoteReference"/>
        </w:rPr>
        <w:footnoteRef/>
      </w:r>
      <w:r w:rsidRPr="00525C3E">
        <w:t xml:space="preserve"> The Tenth Circuit Court of Appeals indicated explicitly that </w:t>
      </w:r>
      <w:r w:rsidRPr="00525C3E">
        <w:rPr>
          <w:i/>
        </w:rPr>
        <w:t>Lanning</w:t>
      </w:r>
      <w:r w:rsidRPr="00525C3E">
        <w:t xml:space="preserve"> applies only to the income side of the projected disposable income calculation. </w:t>
      </w:r>
      <w:r w:rsidRPr="00525C3E">
        <w:rPr>
          <w:i/>
        </w:rPr>
        <w:t>Lanning</w:t>
      </w:r>
      <w:r w:rsidRPr="00525C3E">
        <w:t>, 545 F.3d at 1282.</w:t>
      </w:r>
    </w:p>
  </w:footnote>
  <w:footnote w:id="5">
    <w:p w:rsidR="00D25381" w:rsidRPr="00525C3E" w:rsidRDefault="00D25381" w:rsidP="008E70DA">
      <w:pPr>
        <w:pStyle w:val="FootnoteText"/>
      </w:pPr>
      <w:r w:rsidRPr="00525C3E">
        <w:rPr>
          <w:rStyle w:val="FootnoteReference"/>
        </w:rPr>
        <w:footnoteRef/>
      </w:r>
      <w:r w:rsidRPr="00525C3E">
        <w:t xml:space="preserve"> The most important purpose of the 2005 amendments to the Bankruptcy Code, as found in the Bankruptcy Abuse Prevention and Consumer Protection Act of 2005, is “to ensure that debtors repay creditors the maximum they can afford.” H.R. Rep. 109-31(I), at 2 (2005), </w:t>
      </w:r>
      <w:r w:rsidRPr="00525C3E">
        <w:rPr>
          <w:i/>
        </w:rPr>
        <w:t>reprinted in</w:t>
      </w:r>
      <w:r w:rsidRPr="00525C3E">
        <w:t xml:space="preserve"> 2005 U.S.C.C.A.N. 88, 89</w:t>
      </w:r>
      <w:r w:rsidRPr="00525C3E">
        <w:fldChar w:fldCharType="begin"/>
      </w:r>
      <w:r w:rsidRPr="00525C3E">
        <w:instrText xml:space="preserve"> TA \l "H.R. Rep. 109-31(I) (2005), </w:instrText>
      </w:r>
      <w:r w:rsidRPr="00525C3E">
        <w:rPr>
          <w:i/>
        </w:rPr>
        <w:instrText>reprinted in</w:instrText>
      </w:r>
      <w:r w:rsidRPr="00525C3E">
        <w:instrText xml:space="preserve"> 2005 U.S.C.C.A.N. 88" \s "H.R. Rep. 109-31(I) (2005), reprinted in 2005 U.S.C.C.A.N. 88" \c 3 </w:instrText>
      </w:r>
      <w:r w:rsidRPr="00525C3E">
        <w:fldChar w:fldCharType="end"/>
      </w:r>
      <w:r w:rsidRPr="00525C3E">
        <w:t>.</w:t>
      </w:r>
    </w:p>
    <w:p w:rsidR="00D25381" w:rsidRPr="00525C3E" w:rsidRDefault="00D25381">
      <w:pPr>
        <w:pStyle w:val="FootnoteText"/>
      </w:pPr>
      <w:r w:rsidRPr="00525C3E">
        <w:t xml:space="preserve"> </w:t>
      </w:r>
    </w:p>
  </w:footnote>
  <w:footnote w:id="6">
    <w:p w:rsidR="00D25381" w:rsidRPr="00525C3E" w:rsidRDefault="00D25381" w:rsidP="005B551C">
      <w:pPr>
        <w:rPr>
          <w:sz w:val="20"/>
          <w:szCs w:val="20"/>
        </w:rPr>
      </w:pPr>
      <w:r w:rsidRPr="00525C3E">
        <w:rPr>
          <w:rStyle w:val="FootnoteReference"/>
          <w:sz w:val="20"/>
          <w:szCs w:val="20"/>
        </w:rPr>
        <w:footnoteRef/>
      </w:r>
      <w:r w:rsidRPr="00525C3E">
        <w:rPr>
          <w:sz w:val="20"/>
          <w:szCs w:val="20"/>
        </w:rPr>
        <w:t xml:space="preserve"> One panel member, the Honorable Thomas H. Fulton, United States Bankruptcy Judge, dissented. Characterizing, respectfully, the majority’s holding as “a superb effort to weave a seemingly robust cloth from somewhat thin threads,” he opined that to determine “applicable monthly expense amounts,” a debtor must refer to IRS guidelines for the use of their expense tables; or else, “applicable” would be surplusage, unnecessary to signify the statutory meaning found by the court. Furthermore, he asserted that the panel overemphasized the distinction between “applicable” expenses and “actual” expenses, to the point where the terms were interpreted as opposites rather than merely different, as Congress intended. Finally, he opined that the majority’s interpretation would lead to absurd results and run contrary to the drafters’ intent. </w:t>
      </w:r>
    </w:p>
    <w:p w:rsidR="00D25381" w:rsidRPr="00525C3E" w:rsidRDefault="00D25381" w:rsidP="005B551C">
      <w:pPr>
        <w:pStyle w:val="FootnoteText"/>
      </w:pPr>
    </w:p>
  </w:footnote>
  <w:footnote w:id="7">
    <w:p w:rsidR="00D25381" w:rsidRPr="00525C3E" w:rsidRDefault="00D25381" w:rsidP="00F52476">
      <w:pPr>
        <w:pStyle w:val="FootnoteText"/>
      </w:pPr>
      <w:r w:rsidRPr="00525C3E">
        <w:rPr>
          <w:rStyle w:val="FootnoteReference"/>
        </w:rPr>
        <w:footnoteRef/>
      </w:r>
      <w:r w:rsidRPr="00525C3E">
        <w:t xml:space="preserve"> Sections 707(b)(2)(A)(ii)(II), (III), (IV), and (V) list additional permissible expenses, subject to various evidentiary showings.</w:t>
      </w:r>
    </w:p>
  </w:footnote>
  <w:footnote w:id="8">
    <w:p w:rsidR="00D25381" w:rsidRPr="00525C3E" w:rsidRDefault="00D25381">
      <w:pPr>
        <w:pStyle w:val="FootnoteText"/>
      </w:pPr>
      <w:r w:rsidRPr="00525C3E">
        <w:rPr>
          <w:rStyle w:val="FootnoteReference"/>
        </w:rPr>
        <w:footnoteRef/>
      </w:r>
      <w:r w:rsidRPr="00525C3E">
        <w:t xml:space="preserve"> 381 B.R. 537 (W.D. Wis. 2008), </w:t>
      </w:r>
      <w:r w:rsidRPr="00525C3E">
        <w:rPr>
          <w:i/>
        </w:rPr>
        <w:t>appeal docketed</w:t>
      </w:r>
      <w:r w:rsidRPr="00525C3E">
        <w:t>, No. 08-1635 (7th Cir. Mar. 17, 2008)</w:t>
      </w:r>
    </w:p>
  </w:footnote>
  <w:footnote w:id="9">
    <w:p w:rsidR="00D25381" w:rsidRPr="00525C3E" w:rsidRDefault="00D25381" w:rsidP="000E7544">
      <w:pPr>
        <w:pStyle w:val="FootnoteText"/>
      </w:pPr>
      <w:r w:rsidRPr="00525C3E">
        <w:rPr>
          <w:rStyle w:val="FootnoteReference"/>
        </w:rPr>
        <w:footnoteRef/>
      </w:r>
      <w:r w:rsidRPr="00525C3E">
        <w:t xml:space="preserve"> 341 B.R. 181, 184 (Bankr. M.D.N.C. 2006).</w:t>
      </w:r>
    </w:p>
  </w:footnote>
  <w:footnote w:id="10">
    <w:p w:rsidR="00D25381" w:rsidRPr="00525C3E" w:rsidRDefault="00D25381" w:rsidP="00BE7540">
      <w:pPr>
        <w:pStyle w:val="FootnoteText"/>
      </w:pPr>
      <w:r w:rsidRPr="00525C3E">
        <w:rPr>
          <w:rStyle w:val="FootnoteReference"/>
        </w:rPr>
        <w:footnoteRef/>
      </w:r>
      <w:r w:rsidRPr="00525C3E">
        <w:t xml:space="preserve"> 346 B.R.256, 261-62 (Bankr. S.D. Ga. 2006) (“The changes do not entirely eliminate a good faith inquiry into the sufficiency of income. However, they do narrow the scope of judicial discretion.”)</w:t>
      </w:r>
    </w:p>
  </w:footnote>
  <w:footnote w:id="11">
    <w:p w:rsidR="00D25381" w:rsidRDefault="00D25381" w:rsidP="00BE7540">
      <w:pPr>
        <w:pStyle w:val="FootnoteText"/>
      </w:pPr>
      <w:r w:rsidRPr="00525C3E">
        <w:rPr>
          <w:rStyle w:val="FootnoteReference"/>
        </w:rPr>
        <w:footnoteRef/>
      </w:r>
      <w:r w:rsidRPr="00525C3E">
        <w:t xml:space="preserve"> 353 B.R. 224, 232 (Bankr. N.D. </w:t>
      </w:r>
      <w:smartTag w:uri="urn:schemas-microsoft-com:office:smarttags" w:element="PostalCode">
        <w:smartTag w:uri="urn:schemas-microsoft-com:office:smarttags" w:element="State">
          <w:r w:rsidRPr="00525C3E">
            <w:t>Ill.</w:t>
          </w:r>
        </w:smartTag>
      </w:smartTag>
      <w:r w:rsidRPr="00525C3E">
        <w:t xml:space="preserve"> 2006).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16F1"/>
    <w:multiLevelType w:val="hybridMultilevel"/>
    <w:tmpl w:val="8DE0345C"/>
    <w:lvl w:ilvl="0" w:tplc="0AFE197A">
      <w:start w:val="2"/>
      <w:numFmt w:val="decimal"/>
      <w:lvlText w:val="%1."/>
      <w:lvlJc w:val="left"/>
      <w:pPr>
        <w:tabs>
          <w:tab w:val="num" w:pos="1800"/>
        </w:tabs>
        <w:ind w:left="1800" w:hanging="360"/>
      </w:pPr>
      <w:rPr>
        <w:rFonts w:hint="default"/>
        <w:i w:val="0"/>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60772B9"/>
    <w:multiLevelType w:val="multilevel"/>
    <w:tmpl w:val="130C28A4"/>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08B36A31"/>
    <w:multiLevelType w:val="hybridMultilevel"/>
    <w:tmpl w:val="11E623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1C0339"/>
    <w:multiLevelType w:val="hybridMultilevel"/>
    <w:tmpl w:val="BC221AD6"/>
    <w:lvl w:ilvl="0" w:tplc="BCFA3B7E">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435EF3"/>
    <w:multiLevelType w:val="hybridMultilevel"/>
    <w:tmpl w:val="2A2A1868"/>
    <w:lvl w:ilvl="0" w:tplc="05DAB6B6">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ACE20D48">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A056B39"/>
    <w:multiLevelType w:val="multilevel"/>
    <w:tmpl w:val="C41E270A"/>
    <w:lvl w:ilvl="0">
      <w:start w:val="1"/>
      <w:numFmt w:val="upperRoman"/>
      <w:lvlText w:val="%1."/>
      <w:lvlJc w:val="left"/>
      <w:pPr>
        <w:tabs>
          <w:tab w:val="num" w:pos="360"/>
        </w:tabs>
        <w:ind w:left="0" w:firstLine="0"/>
      </w:pPr>
      <w:rPr>
        <w:rFonts w:hint="default"/>
        <w:b/>
        <w:i w:val="0"/>
      </w:rPr>
    </w:lvl>
    <w:lvl w:ilvl="1">
      <w:start w:val="1"/>
      <w:numFmt w:val="upperLetter"/>
      <w:lvlText w:val="%2."/>
      <w:lvlJc w:val="left"/>
      <w:pPr>
        <w:tabs>
          <w:tab w:val="num" w:pos="1080"/>
        </w:tabs>
        <w:ind w:left="720" w:firstLine="0"/>
      </w:pPr>
      <w:rPr>
        <w:rFonts w:hint="default"/>
        <w:b/>
        <w:i w:val="0"/>
      </w:rPr>
    </w:lvl>
    <w:lvl w:ilvl="2">
      <w:start w:val="1"/>
      <w:numFmt w:val="decimal"/>
      <w:lvlText w:val="%3."/>
      <w:lvlJc w:val="left"/>
      <w:pPr>
        <w:tabs>
          <w:tab w:val="num" w:pos="1800"/>
        </w:tabs>
        <w:ind w:left="1440" w:firstLine="0"/>
      </w:pPr>
      <w:rPr>
        <w:rFonts w:hint="default"/>
        <w:b/>
        <w:i w:val="0"/>
      </w:rPr>
    </w:lvl>
    <w:lvl w:ilvl="3">
      <w:start w:val="1"/>
      <w:numFmt w:val="lowerLetter"/>
      <w:lvlText w:val="%4)"/>
      <w:lvlJc w:val="left"/>
      <w:pPr>
        <w:tabs>
          <w:tab w:val="num" w:pos="2520"/>
        </w:tabs>
        <w:ind w:left="2160" w:firstLine="0"/>
      </w:pPr>
      <w:rPr>
        <w:rFonts w:hint="default"/>
        <w:b/>
        <w:i w:val="0"/>
      </w:rPr>
    </w:lvl>
    <w:lvl w:ilvl="4">
      <w:start w:val="1"/>
      <w:numFmt w:val="decimal"/>
      <w:lvlText w:val="(%5)"/>
      <w:lvlJc w:val="left"/>
      <w:pPr>
        <w:tabs>
          <w:tab w:val="num" w:pos="3240"/>
        </w:tabs>
        <w:ind w:left="2880" w:firstLine="0"/>
      </w:pPr>
      <w:rPr>
        <w:rFonts w:hint="default"/>
        <w:b/>
        <w:i w:val="0"/>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nsid w:val="24616202"/>
    <w:multiLevelType w:val="hybridMultilevel"/>
    <w:tmpl w:val="233286D6"/>
    <w:lvl w:ilvl="0" w:tplc="24BA48C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FF7EB4"/>
    <w:multiLevelType w:val="hybridMultilevel"/>
    <w:tmpl w:val="31366204"/>
    <w:lvl w:ilvl="0" w:tplc="1990EC8A">
      <w:start w:val="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043425"/>
    <w:multiLevelType w:val="hybridMultilevel"/>
    <w:tmpl w:val="2786BB7C"/>
    <w:lvl w:ilvl="0" w:tplc="E2DCC8CE">
      <w:start w:val="1"/>
      <w:numFmt w:val="upp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E64CAF"/>
    <w:multiLevelType w:val="hybridMultilevel"/>
    <w:tmpl w:val="6BB6BF50"/>
    <w:lvl w:ilvl="0" w:tplc="F684CE9C">
      <w:start w:val="1"/>
      <w:numFmt w:val="decimal"/>
      <w:lvlText w:val="%1."/>
      <w:lvlJc w:val="left"/>
      <w:pPr>
        <w:tabs>
          <w:tab w:val="num" w:pos="1440"/>
        </w:tabs>
        <w:ind w:left="1440" w:hanging="720"/>
      </w:pPr>
      <w:rPr>
        <w:rFonts w:hint="default"/>
        <w:b/>
        <w:i w:val="0"/>
        <w:u w:val="none"/>
      </w:rPr>
    </w:lvl>
    <w:lvl w:ilvl="1" w:tplc="F7FE7964">
      <w:start w:val="1"/>
      <w:numFmt w:val="lowerLetter"/>
      <w:lvlText w:val="%2."/>
      <w:lvlJc w:val="left"/>
      <w:pPr>
        <w:tabs>
          <w:tab w:val="num" w:pos="1800"/>
        </w:tabs>
        <w:ind w:left="1800" w:hanging="360"/>
      </w:pPr>
      <w:rPr>
        <w:rFonts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0057773"/>
    <w:multiLevelType w:val="hybridMultilevel"/>
    <w:tmpl w:val="F752BA72"/>
    <w:lvl w:ilvl="0" w:tplc="E612CC08">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nsid w:val="705C4BC8"/>
    <w:multiLevelType w:val="multilevel"/>
    <w:tmpl w:val="8FA8AB96"/>
    <w:lvl w:ilvl="0">
      <w:start w:val="1"/>
      <w:numFmt w:val="upperRoman"/>
      <w:pStyle w:val="Heading1"/>
      <w:lvlText w:val="%1."/>
      <w:lvlJc w:val="left"/>
      <w:pPr>
        <w:tabs>
          <w:tab w:val="num" w:pos="360"/>
        </w:tabs>
        <w:ind w:left="0" w:firstLine="0"/>
      </w:pPr>
      <w:rPr>
        <w:rFonts w:ascii="Times New Roman Bold" w:hAnsi="Times New Roman Bold" w:hint="default"/>
        <w:b/>
        <w:i w:val="0"/>
        <w:sz w:val="24"/>
      </w:rPr>
    </w:lvl>
    <w:lvl w:ilvl="1">
      <w:start w:val="1"/>
      <w:numFmt w:val="upperLetter"/>
      <w:pStyle w:val="Heading2"/>
      <w:lvlText w:val="%2."/>
      <w:lvlJc w:val="left"/>
      <w:pPr>
        <w:tabs>
          <w:tab w:val="num" w:pos="1080"/>
        </w:tabs>
        <w:ind w:left="720" w:firstLine="0"/>
      </w:pPr>
      <w:rPr>
        <w:rFonts w:ascii="Times New Roman Bold" w:hAnsi="Times New Roman Bold" w:hint="default"/>
        <w:b/>
        <w:i w:val="0"/>
        <w:sz w:val="24"/>
      </w:rPr>
    </w:lvl>
    <w:lvl w:ilvl="2">
      <w:start w:val="1"/>
      <w:numFmt w:val="decimal"/>
      <w:pStyle w:val="Heading3"/>
      <w:lvlText w:val="%3."/>
      <w:lvlJc w:val="left"/>
      <w:pPr>
        <w:tabs>
          <w:tab w:val="num" w:pos="1800"/>
        </w:tabs>
        <w:ind w:left="1440" w:firstLine="0"/>
      </w:pPr>
      <w:rPr>
        <w:rFonts w:ascii="Times New Roman Bold" w:hAnsi="Times New Roman Bold" w:hint="default"/>
        <w:b/>
        <w:i w:val="0"/>
        <w:sz w:val="24"/>
      </w:rPr>
    </w:lvl>
    <w:lvl w:ilvl="3">
      <w:start w:val="1"/>
      <w:numFmt w:val="lowerLetter"/>
      <w:pStyle w:val="Heading4"/>
      <w:lvlText w:val="%4)"/>
      <w:lvlJc w:val="left"/>
      <w:pPr>
        <w:tabs>
          <w:tab w:val="num" w:pos="2520"/>
        </w:tabs>
        <w:ind w:left="2160" w:firstLine="0"/>
      </w:pPr>
      <w:rPr>
        <w:rFonts w:ascii="Times New Roman Bold" w:hAnsi="Times New Roman Bold" w:hint="default"/>
        <w:b/>
        <w:i w:val="0"/>
        <w:sz w:val="24"/>
      </w:rPr>
    </w:lvl>
    <w:lvl w:ilvl="4">
      <w:start w:val="1"/>
      <w:numFmt w:val="decimal"/>
      <w:pStyle w:val="Heading5"/>
      <w:lvlText w:val="(%5)"/>
      <w:lvlJc w:val="left"/>
      <w:pPr>
        <w:tabs>
          <w:tab w:val="num" w:pos="3240"/>
        </w:tabs>
        <w:ind w:left="2880" w:firstLine="0"/>
      </w:pPr>
      <w:rPr>
        <w:rFonts w:ascii="Times New Roman Bold" w:hAnsi="Times New Roman Bold" w:hint="default"/>
        <w:b/>
        <w:i w:val="0"/>
        <w:sz w:val="24"/>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2">
    <w:nsid w:val="723D4CCF"/>
    <w:multiLevelType w:val="hybridMultilevel"/>
    <w:tmpl w:val="0AA6BCD6"/>
    <w:lvl w:ilvl="0" w:tplc="B5089B54">
      <w:start w:val="2"/>
      <w:numFmt w:val="lowerLetter"/>
      <w:lvlText w:val="%1."/>
      <w:lvlJc w:val="left"/>
      <w:pPr>
        <w:tabs>
          <w:tab w:val="num" w:pos="2880"/>
        </w:tabs>
        <w:ind w:left="2880" w:hanging="720"/>
      </w:pPr>
      <w:rPr>
        <w:rFonts w:hint="default"/>
      </w:rPr>
    </w:lvl>
    <w:lvl w:ilvl="1" w:tplc="D520A63A">
      <w:start w:val="1"/>
      <w:numFmt w:val="lowerRoman"/>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nsid w:val="73DF134C"/>
    <w:multiLevelType w:val="hybridMultilevel"/>
    <w:tmpl w:val="95AEBE2A"/>
    <w:lvl w:ilvl="0" w:tplc="C086687A">
      <w:start w:val="5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9021A4C"/>
    <w:multiLevelType w:val="hybridMultilevel"/>
    <w:tmpl w:val="87843E92"/>
    <w:lvl w:ilvl="0" w:tplc="E9A04DF0">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4B7F5D"/>
    <w:multiLevelType w:val="hybridMultilevel"/>
    <w:tmpl w:val="27FEB192"/>
    <w:lvl w:ilvl="0" w:tplc="C0561A30">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7C3C16"/>
    <w:multiLevelType w:val="hybridMultilevel"/>
    <w:tmpl w:val="4316F6B4"/>
    <w:lvl w:ilvl="0" w:tplc="2382785E">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1"/>
  </w:num>
  <w:num w:numId="3">
    <w:abstractNumId w:val="5"/>
  </w:num>
  <w:num w:numId="4">
    <w:abstractNumId w:val="2"/>
  </w:num>
  <w:num w:numId="5">
    <w:abstractNumId w:val="10"/>
  </w:num>
  <w:num w:numId="6">
    <w:abstractNumId w:val="11"/>
    <w:lvlOverride w:ilvl="0"/>
    <w:lvlOverride w:ilvl="1"/>
    <w:lvlOverride w:ilvl="2"/>
  </w:num>
  <w:num w:numId="7">
    <w:abstractNumId w:val="6"/>
  </w:num>
  <w:num w:numId="8">
    <w:abstractNumId w:val="4"/>
  </w:num>
  <w:num w:numId="9">
    <w:abstractNumId w:val="0"/>
  </w:num>
  <w:num w:numId="10">
    <w:abstractNumId w:val="7"/>
  </w:num>
  <w:num w:numId="11">
    <w:abstractNumId w:val="12"/>
  </w:num>
  <w:num w:numId="12">
    <w:abstractNumId w:val="16"/>
  </w:num>
  <w:num w:numId="13">
    <w:abstractNumId w:val="9"/>
  </w:num>
  <w:num w:numId="14">
    <w:abstractNumId w:val="3"/>
  </w:num>
  <w:num w:numId="15">
    <w:abstractNumId w:val="15"/>
  </w:num>
  <w:num w:numId="16">
    <w:abstractNumId w:val="8"/>
  </w:num>
  <w:num w:numId="17">
    <w:abstractNumId w:val="1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grammar="clean"/>
  <w:stylePaneFormatFilter w:val="3F01"/>
  <w:defaultTabStop w:val="720"/>
  <w:characterSpacingControl w:val="doNotCompress"/>
  <w:footnotePr>
    <w:footnote w:id="-1"/>
    <w:footnote w:id="0"/>
  </w:footnotePr>
  <w:endnotePr>
    <w:endnote w:id="-1"/>
    <w:endnote w:id="0"/>
  </w:endnotePr>
  <w:compat/>
  <w:rsids>
    <w:rsidRoot w:val="009D49CA"/>
    <w:rsid w:val="00000754"/>
    <w:rsid w:val="000007D7"/>
    <w:rsid w:val="00000FD8"/>
    <w:rsid w:val="000013EA"/>
    <w:rsid w:val="00001FF3"/>
    <w:rsid w:val="0000443F"/>
    <w:rsid w:val="0000484D"/>
    <w:rsid w:val="00007114"/>
    <w:rsid w:val="00007152"/>
    <w:rsid w:val="00007205"/>
    <w:rsid w:val="00007C4D"/>
    <w:rsid w:val="00010386"/>
    <w:rsid w:val="00010F01"/>
    <w:rsid w:val="00012F9D"/>
    <w:rsid w:val="00014EE6"/>
    <w:rsid w:val="0001762D"/>
    <w:rsid w:val="00023B0F"/>
    <w:rsid w:val="00023CA4"/>
    <w:rsid w:val="000306E0"/>
    <w:rsid w:val="000328A4"/>
    <w:rsid w:val="00036386"/>
    <w:rsid w:val="00036B1C"/>
    <w:rsid w:val="00037D48"/>
    <w:rsid w:val="00040F20"/>
    <w:rsid w:val="00043577"/>
    <w:rsid w:val="000520C5"/>
    <w:rsid w:val="00052C1A"/>
    <w:rsid w:val="00053126"/>
    <w:rsid w:val="000533A6"/>
    <w:rsid w:val="0005607A"/>
    <w:rsid w:val="00060468"/>
    <w:rsid w:val="000626B4"/>
    <w:rsid w:val="000634AD"/>
    <w:rsid w:val="00071CFA"/>
    <w:rsid w:val="000729C1"/>
    <w:rsid w:val="00074B64"/>
    <w:rsid w:val="00075B41"/>
    <w:rsid w:val="000808BE"/>
    <w:rsid w:val="00084508"/>
    <w:rsid w:val="00084792"/>
    <w:rsid w:val="000868EF"/>
    <w:rsid w:val="00091A5E"/>
    <w:rsid w:val="00093EB0"/>
    <w:rsid w:val="0009494B"/>
    <w:rsid w:val="00095CE9"/>
    <w:rsid w:val="000968E4"/>
    <w:rsid w:val="000A0F94"/>
    <w:rsid w:val="000A132D"/>
    <w:rsid w:val="000A32F5"/>
    <w:rsid w:val="000A36EB"/>
    <w:rsid w:val="000A4BCA"/>
    <w:rsid w:val="000B0CCD"/>
    <w:rsid w:val="000B1DF2"/>
    <w:rsid w:val="000B2C3A"/>
    <w:rsid w:val="000B371F"/>
    <w:rsid w:val="000B5B3A"/>
    <w:rsid w:val="000C03A7"/>
    <w:rsid w:val="000C0D13"/>
    <w:rsid w:val="000C7CBA"/>
    <w:rsid w:val="000D04C8"/>
    <w:rsid w:val="000D106D"/>
    <w:rsid w:val="000D1A24"/>
    <w:rsid w:val="000D4D4F"/>
    <w:rsid w:val="000D636F"/>
    <w:rsid w:val="000D6F48"/>
    <w:rsid w:val="000D7A8B"/>
    <w:rsid w:val="000D7B66"/>
    <w:rsid w:val="000E2052"/>
    <w:rsid w:val="000E273A"/>
    <w:rsid w:val="000E2D25"/>
    <w:rsid w:val="000E4C0B"/>
    <w:rsid w:val="000E736B"/>
    <w:rsid w:val="000E7512"/>
    <w:rsid w:val="000E7544"/>
    <w:rsid w:val="000F288A"/>
    <w:rsid w:val="000F3177"/>
    <w:rsid w:val="000F4FDA"/>
    <w:rsid w:val="000F5E00"/>
    <w:rsid w:val="000F700A"/>
    <w:rsid w:val="001033D0"/>
    <w:rsid w:val="00106576"/>
    <w:rsid w:val="00107E26"/>
    <w:rsid w:val="00110299"/>
    <w:rsid w:val="0011095A"/>
    <w:rsid w:val="00115B95"/>
    <w:rsid w:val="00116915"/>
    <w:rsid w:val="001202D9"/>
    <w:rsid w:val="00121CDB"/>
    <w:rsid w:val="001220B6"/>
    <w:rsid w:val="00123DD9"/>
    <w:rsid w:val="00130EFD"/>
    <w:rsid w:val="00132C70"/>
    <w:rsid w:val="00132F88"/>
    <w:rsid w:val="001332BA"/>
    <w:rsid w:val="00137264"/>
    <w:rsid w:val="001436FF"/>
    <w:rsid w:val="0015090D"/>
    <w:rsid w:val="00150C02"/>
    <w:rsid w:val="00153BCB"/>
    <w:rsid w:val="001558BF"/>
    <w:rsid w:val="00156AFD"/>
    <w:rsid w:val="001617C8"/>
    <w:rsid w:val="001639D9"/>
    <w:rsid w:val="0016530A"/>
    <w:rsid w:val="001674FF"/>
    <w:rsid w:val="00170F7E"/>
    <w:rsid w:val="00171E8D"/>
    <w:rsid w:val="001855B6"/>
    <w:rsid w:val="001932C8"/>
    <w:rsid w:val="0019587D"/>
    <w:rsid w:val="001A29DD"/>
    <w:rsid w:val="001A2DA7"/>
    <w:rsid w:val="001A5C97"/>
    <w:rsid w:val="001A67EF"/>
    <w:rsid w:val="001A76FB"/>
    <w:rsid w:val="001B3FCD"/>
    <w:rsid w:val="001B51AF"/>
    <w:rsid w:val="001B581F"/>
    <w:rsid w:val="001B6A38"/>
    <w:rsid w:val="001B78F8"/>
    <w:rsid w:val="001C2B8C"/>
    <w:rsid w:val="001C365E"/>
    <w:rsid w:val="001C5C43"/>
    <w:rsid w:val="001D0871"/>
    <w:rsid w:val="001D5207"/>
    <w:rsid w:val="001D66BA"/>
    <w:rsid w:val="001E1498"/>
    <w:rsid w:val="001E20A7"/>
    <w:rsid w:val="001E2A10"/>
    <w:rsid w:val="001E32AA"/>
    <w:rsid w:val="001E4464"/>
    <w:rsid w:val="001E73BC"/>
    <w:rsid w:val="001F0A31"/>
    <w:rsid w:val="00201772"/>
    <w:rsid w:val="0020351D"/>
    <w:rsid w:val="002046CB"/>
    <w:rsid w:val="0021253C"/>
    <w:rsid w:val="00222EF0"/>
    <w:rsid w:val="00222FD9"/>
    <w:rsid w:val="00223647"/>
    <w:rsid w:val="00227AD0"/>
    <w:rsid w:val="0023084F"/>
    <w:rsid w:val="0023203A"/>
    <w:rsid w:val="00232ED3"/>
    <w:rsid w:val="00233D0F"/>
    <w:rsid w:val="00234B88"/>
    <w:rsid w:val="0023667D"/>
    <w:rsid w:val="00240E5C"/>
    <w:rsid w:val="002477B0"/>
    <w:rsid w:val="00247A9A"/>
    <w:rsid w:val="0025022B"/>
    <w:rsid w:val="002505D1"/>
    <w:rsid w:val="00252965"/>
    <w:rsid w:val="002539DC"/>
    <w:rsid w:val="002561CE"/>
    <w:rsid w:val="0025679D"/>
    <w:rsid w:val="002572FC"/>
    <w:rsid w:val="00257E89"/>
    <w:rsid w:val="00261100"/>
    <w:rsid w:val="00261972"/>
    <w:rsid w:val="00263071"/>
    <w:rsid w:val="00267963"/>
    <w:rsid w:val="00271708"/>
    <w:rsid w:val="00271936"/>
    <w:rsid w:val="002720CC"/>
    <w:rsid w:val="00274A2D"/>
    <w:rsid w:val="00274CFB"/>
    <w:rsid w:val="00275CA1"/>
    <w:rsid w:val="00275D9D"/>
    <w:rsid w:val="00280232"/>
    <w:rsid w:val="0028443A"/>
    <w:rsid w:val="002875B1"/>
    <w:rsid w:val="0028774B"/>
    <w:rsid w:val="00290A7E"/>
    <w:rsid w:val="00290CF0"/>
    <w:rsid w:val="0029507A"/>
    <w:rsid w:val="002958D5"/>
    <w:rsid w:val="00296300"/>
    <w:rsid w:val="0029635C"/>
    <w:rsid w:val="002974C0"/>
    <w:rsid w:val="002A25AD"/>
    <w:rsid w:val="002A2A15"/>
    <w:rsid w:val="002A2EE1"/>
    <w:rsid w:val="002A2FF7"/>
    <w:rsid w:val="002A7C68"/>
    <w:rsid w:val="002B0689"/>
    <w:rsid w:val="002B5597"/>
    <w:rsid w:val="002C17FE"/>
    <w:rsid w:val="002C1F90"/>
    <w:rsid w:val="002C43B9"/>
    <w:rsid w:val="002C45A0"/>
    <w:rsid w:val="002C79E6"/>
    <w:rsid w:val="002D0809"/>
    <w:rsid w:val="002D13E8"/>
    <w:rsid w:val="002D1AB6"/>
    <w:rsid w:val="002E52E1"/>
    <w:rsid w:val="002F1340"/>
    <w:rsid w:val="002F259A"/>
    <w:rsid w:val="002F452D"/>
    <w:rsid w:val="003004B1"/>
    <w:rsid w:val="00301110"/>
    <w:rsid w:val="00301E2E"/>
    <w:rsid w:val="0030251B"/>
    <w:rsid w:val="00302B3D"/>
    <w:rsid w:val="00304D77"/>
    <w:rsid w:val="003057A4"/>
    <w:rsid w:val="0030775E"/>
    <w:rsid w:val="00314FB7"/>
    <w:rsid w:val="00315548"/>
    <w:rsid w:val="00317C4D"/>
    <w:rsid w:val="003209E6"/>
    <w:rsid w:val="00320DD9"/>
    <w:rsid w:val="0032237A"/>
    <w:rsid w:val="003239F6"/>
    <w:rsid w:val="00324124"/>
    <w:rsid w:val="0032526E"/>
    <w:rsid w:val="00325C59"/>
    <w:rsid w:val="00330D11"/>
    <w:rsid w:val="00330D94"/>
    <w:rsid w:val="00332267"/>
    <w:rsid w:val="00335B6F"/>
    <w:rsid w:val="00336252"/>
    <w:rsid w:val="00337C6E"/>
    <w:rsid w:val="003470F5"/>
    <w:rsid w:val="003513CB"/>
    <w:rsid w:val="003518F1"/>
    <w:rsid w:val="0035206D"/>
    <w:rsid w:val="00352307"/>
    <w:rsid w:val="0035520B"/>
    <w:rsid w:val="003601D1"/>
    <w:rsid w:val="00362DD9"/>
    <w:rsid w:val="0037167F"/>
    <w:rsid w:val="00372801"/>
    <w:rsid w:val="00374499"/>
    <w:rsid w:val="00381A40"/>
    <w:rsid w:val="00381B98"/>
    <w:rsid w:val="00382479"/>
    <w:rsid w:val="003852CB"/>
    <w:rsid w:val="0038565F"/>
    <w:rsid w:val="00385B61"/>
    <w:rsid w:val="003864C8"/>
    <w:rsid w:val="00386CAB"/>
    <w:rsid w:val="00387931"/>
    <w:rsid w:val="00390F75"/>
    <w:rsid w:val="00391A35"/>
    <w:rsid w:val="00393851"/>
    <w:rsid w:val="00394C0C"/>
    <w:rsid w:val="003A3767"/>
    <w:rsid w:val="003B5861"/>
    <w:rsid w:val="003B5883"/>
    <w:rsid w:val="003B7228"/>
    <w:rsid w:val="003B7D8C"/>
    <w:rsid w:val="003C11EB"/>
    <w:rsid w:val="003C19DC"/>
    <w:rsid w:val="003C3A2E"/>
    <w:rsid w:val="003C5C75"/>
    <w:rsid w:val="003C634C"/>
    <w:rsid w:val="003D0E01"/>
    <w:rsid w:val="003D21AB"/>
    <w:rsid w:val="003D29A9"/>
    <w:rsid w:val="003D2F29"/>
    <w:rsid w:val="003D301C"/>
    <w:rsid w:val="003D38F5"/>
    <w:rsid w:val="003D659E"/>
    <w:rsid w:val="003D70A5"/>
    <w:rsid w:val="003E0DB3"/>
    <w:rsid w:val="003E1BDB"/>
    <w:rsid w:val="003E1DCF"/>
    <w:rsid w:val="003E2C1C"/>
    <w:rsid w:val="003E3335"/>
    <w:rsid w:val="003E6F1A"/>
    <w:rsid w:val="003F03BD"/>
    <w:rsid w:val="003F4668"/>
    <w:rsid w:val="003F47C1"/>
    <w:rsid w:val="003F583B"/>
    <w:rsid w:val="003F5942"/>
    <w:rsid w:val="004020E5"/>
    <w:rsid w:val="0041114C"/>
    <w:rsid w:val="00417811"/>
    <w:rsid w:val="00421DA7"/>
    <w:rsid w:val="00421E87"/>
    <w:rsid w:val="00422781"/>
    <w:rsid w:val="00422BA1"/>
    <w:rsid w:val="00423875"/>
    <w:rsid w:val="00425E9A"/>
    <w:rsid w:val="00431341"/>
    <w:rsid w:val="00432674"/>
    <w:rsid w:val="00433F63"/>
    <w:rsid w:val="00434F44"/>
    <w:rsid w:val="00436E85"/>
    <w:rsid w:val="00437D45"/>
    <w:rsid w:val="00443F02"/>
    <w:rsid w:val="004475CE"/>
    <w:rsid w:val="004479D3"/>
    <w:rsid w:val="004519B5"/>
    <w:rsid w:val="004544F5"/>
    <w:rsid w:val="00456146"/>
    <w:rsid w:val="00456518"/>
    <w:rsid w:val="00456970"/>
    <w:rsid w:val="00460B13"/>
    <w:rsid w:val="0046315A"/>
    <w:rsid w:val="004632B6"/>
    <w:rsid w:val="00463D30"/>
    <w:rsid w:val="00470F40"/>
    <w:rsid w:val="004748CA"/>
    <w:rsid w:val="00475613"/>
    <w:rsid w:val="0048125B"/>
    <w:rsid w:val="00481A9C"/>
    <w:rsid w:val="0048621E"/>
    <w:rsid w:val="0048672C"/>
    <w:rsid w:val="00486940"/>
    <w:rsid w:val="00486BD5"/>
    <w:rsid w:val="004875BA"/>
    <w:rsid w:val="004902A6"/>
    <w:rsid w:val="0049337A"/>
    <w:rsid w:val="00493E7A"/>
    <w:rsid w:val="00494B09"/>
    <w:rsid w:val="00496A47"/>
    <w:rsid w:val="00497B55"/>
    <w:rsid w:val="004A2EC4"/>
    <w:rsid w:val="004A3537"/>
    <w:rsid w:val="004B518C"/>
    <w:rsid w:val="004B7EB9"/>
    <w:rsid w:val="004C06C8"/>
    <w:rsid w:val="004C086D"/>
    <w:rsid w:val="004C2125"/>
    <w:rsid w:val="004C21AF"/>
    <w:rsid w:val="004C3C68"/>
    <w:rsid w:val="004C6ED4"/>
    <w:rsid w:val="004D1268"/>
    <w:rsid w:val="004D7AEC"/>
    <w:rsid w:val="004E2EE9"/>
    <w:rsid w:val="004E4698"/>
    <w:rsid w:val="004E648D"/>
    <w:rsid w:val="004E6FCD"/>
    <w:rsid w:val="004E7855"/>
    <w:rsid w:val="004F4587"/>
    <w:rsid w:val="004F46E6"/>
    <w:rsid w:val="004F57BC"/>
    <w:rsid w:val="00502B3A"/>
    <w:rsid w:val="0050656E"/>
    <w:rsid w:val="005168D3"/>
    <w:rsid w:val="00516F9B"/>
    <w:rsid w:val="00522991"/>
    <w:rsid w:val="0052563F"/>
    <w:rsid w:val="00525C3E"/>
    <w:rsid w:val="00525FFB"/>
    <w:rsid w:val="00532294"/>
    <w:rsid w:val="00533AE8"/>
    <w:rsid w:val="00535307"/>
    <w:rsid w:val="0053543F"/>
    <w:rsid w:val="005377E1"/>
    <w:rsid w:val="00537CB2"/>
    <w:rsid w:val="00541D8C"/>
    <w:rsid w:val="00543083"/>
    <w:rsid w:val="00544BE2"/>
    <w:rsid w:val="005466E6"/>
    <w:rsid w:val="00547A21"/>
    <w:rsid w:val="00547B6C"/>
    <w:rsid w:val="005502E6"/>
    <w:rsid w:val="005524EC"/>
    <w:rsid w:val="0055335D"/>
    <w:rsid w:val="00554D5C"/>
    <w:rsid w:val="00557009"/>
    <w:rsid w:val="0056198C"/>
    <w:rsid w:val="00562B31"/>
    <w:rsid w:val="00563DD3"/>
    <w:rsid w:val="00564B9D"/>
    <w:rsid w:val="005653A4"/>
    <w:rsid w:val="005668EA"/>
    <w:rsid w:val="00566C35"/>
    <w:rsid w:val="005702DC"/>
    <w:rsid w:val="00571BDE"/>
    <w:rsid w:val="00572158"/>
    <w:rsid w:val="00573C09"/>
    <w:rsid w:val="00575B54"/>
    <w:rsid w:val="005763DB"/>
    <w:rsid w:val="005779D7"/>
    <w:rsid w:val="0058203B"/>
    <w:rsid w:val="00582B91"/>
    <w:rsid w:val="0059198D"/>
    <w:rsid w:val="00592F1C"/>
    <w:rsid w:val="005941CC"/>
    <w:rsid w:val="00594AD3"/>
    <w:rsid w:val="005A0EAD"/>
    <w:rsid w:val="005A22BF"/>
    <w:rsid w:val="005A3081"/>
    <w:rsid w:val="005B01FD"/>
    <w:rsid w:val="005B1A8B"/>
    <w:rsid w:val="005B3E95"/>
    <w:rsid w:val="005B551C"/>
    <w:rsid w:val="005B68C9"/>
    <w:rsid w:val="005B6AFA"/>
    <w:rsid w:val="005B6B80"/>
    <w:rsid w:val="005C1179"/>
    <w:rsid w:val="005C496A"/>
    <w:rsid w:val="005C4C34"/>
    <w:rsid w:val="005C5F91"/>
    <w:rsid w:val="005C75FF"/>
    <w:rsid w:val="005D267A"/>
    <w:rsid w:val="005D65A8"/>
    <w:rsid w:val="005D77B5"/>
    <w:rsid w:val="005E05A9"/>
    <w:rsid w:val="005E1ACE"/>
    <w:rsid w:val="005E2E94"/>
    <w:rsid w:val="005E3463"/>
    <w:rsid w:val="005E49E0"/>
    <w:rsid w:val="005F028E"/>
    <w:rsid w:val="005F0F41"/>
    <w:rsid w:val="005F1039"/>
    <w:rsid w:val="005F15A4"/>
    <w:rsid w:val="005F1B72"/>
    <w:rsid w:val="005F28E7"/>
    <w:rsid w:val="005F3522"/>
    <w:rsid w:val="005F37D1"/>
    <w:rsid w:val="005F4177"/>
    <w:rsid w:val="005F4488"/>
    <w:rsid w:val="005F588B"/>
    <w:rsid w:val="005F6436"/>
    <w:rsid w:val="006018EE"/>
    <w:rsid w:val="0060737F"/>
    <w:rsid w:val="006076E8"/>
    <w:rsid w:val="00610DD0"/>
    <w:rsid w:val="006118A8"/>
    <w:rsid w:val="00616211"/>
    <w:rsid w:val="00617279"/>
    <w:rsid w:val="00617D38"/>
    <w:rsid w:val="00620769"/>
    <w:rsid w:val="00622998"/>
    <w:rsid w:val="0062438F"/>
    <w:rsid w:val="00625E5D"/>
    <w:rsid w:val="00631A49"/>
    <w:rsid w:val="00631DB4"/>
    <w:rsid w:val="00632E23"/>
    <w:rsid w:val="00635D25"/>
    <w:rsid w:val="0063656A"/>
    <w:rsid w:val="00636A82"/>
    <w:rsid w:val="00637CF1"/>
    <w:rsid w:val="006409BF"/>
    <w:rsid w:val="0064203F"/>
    <w:rsid w:val="006446F4"/>
    <w:rsid w:val="00645754"/>
    <w:rsid w:val="00646511"/>
    <w:rsid w:val="00647EA9"/>
    <w:rsid w:val="00650C5D"/>
    <w:rsid w:val="00652D69"/>
    <w:rsid w:val="00653F1C"/>
    <w:rsid w:val="00657742"/>
    <w:rsid w:val="00657E61"/>
    <w:rsid w:val="00660ED3"/>
    <w:rsid w:val="00661090"/>
    <w:rsid w:val="006616F1"/>
    <w:rsid w:val="006669C3"/>
    <w:rsid w:val="00667BBC"/>
    <w:rsid w:val="00670761"/>
    <w:rsid w:val="00670EE0"/>
    <w:rsid w:val="00672E3E"/>
    <w:rsid w:val="00673E9F"/>
    <w:rsid w:val="006746AA"/>
    <w:rsid w:val="006756AF"/>
    <w:rsid w:val="00675BAC"/>
    <w:rsid w:val="00675E05"/>
    <w:rsid w:val="006832B1"/>
    <w:rsid w:val="00685934"/>
    <w:rsid w:val="00691B70"/>
    <w:rsid w:val="00695395"/>
    <w:rsid w:val="006A3309"/>
    <w:rsid w:val="006A3E55"/>
    <w:rsid w:val="006A4750"/>
    <w:rsid w:val="006B2E1B"/>
    <w:rsid w:val="006B386B"/>
    <w:rsid w:val="006B5408"/>
    <w:rsid w:val="006C1484"/>
    <w:rsid w:val="006C274E"/>
    <w:rsid w:val="006C3CC1"/>
    <w:rsid w:val="006C4532"/>
    <w:rsid w:val="006C626B"/>
    <w:rsid w:val="006D1AF2"/>
    <w:rsid w:val="006E0D35"/>
    <w:rsid w:val="006E6479"/>
    <w:rsid w:val="006E6F80"/>
    <w:rsid w:val="006E76B9"/>
    <w:rsid w:val="006F0A88"/>
    <w:rsid w:val="006F11D2"/>
    <w:rsid w:val="006F2C05"/>
    <w:rsid w:val="006F6963"/>
    <w:rsid w:val="006F6BB9"/>
    <w:rsid w:val="00700E2B"/>
    <w:rsid w:val="00703D6A"/>
    <w:rsid w:val="00713811"/>
    <w:rsid w:val="00715D17"/>
    <w:rsid w:val="007162F1"/>
    <w:rsid w:val="00721DE0"/>
    <w:rsid w:val="00722EEA"/>
    <w:rsid w:val="00724650"/>
    <w:rsid w:val="007303B2"/>
    <w:rsid w:val="00733CF7"/>
    <w:rsid w:val="00733E00"/>
    <w:rsid w:val="00735297"/>
    <w:rsid w:val="0074109E"/>
    <w:rsid w:val="0074356D"/>
    <w:rsid w:val="00745B26"/>
    <w:rsid w:val="00745C34"/>
    <w:rsid w:val="00745FE8"/>
    <w:rsid w:val="00747CF6"/>
    <w:rsid w:val="00750A16"/>
    <w:rsid w:val="007514AE"/>
    <w:rsid w:val="00751F53"/>
    <w:rsid w:val="0075601F"/>
    <w:rsid w:val="00757499"/>
    <w:rsid w:val="007613BF"/>
    <w:rsid w:val="007631C4"/>
    <w:rsid w:val="00773D14"/>
    <w:rsid w:val="0078018E"/>
    <w:rsid w:val="00780A17"/>
    <w:rsid w:val="007822CF"/>
    <w:rsid w:val="00783218"/>
    <w:rsid w:val="00785CEA"/>
    <w:rsid w:val="00790354"/>
    <w:rsid w:val="00790E88"/>
    <w:rsid w:val="007917FE"/>
    <w:rsid w:val="00792D75"/>
    <w:rsid w:val="00793332"/>
    <w:rsid w:val="007A09EE"/>
    <w:rsid w:val="007A2254"/>
    <w:rsid w:val="007A6847"/>
    <w:rsid w:val="007B19AB"/>
    <w:rsid w:val="007B225D"/>
    <w:rsid w:val="007B3BD9"/>
    <w:rsid w:val="007B4367"/>
    <w:rsid w:val="007B4753"/>
    <w:rsid w:val="007B7853"/>
    <w:rsid w:val="007B7A79"/>
    <w:rsid w:val="007C24AC"/>
    <w:rsid w:val="007C648A"/>
    <w:rsid w:val="007D15B9"/>
    <w:rsid w:val="007D170D"/>
    <w:rsid w:val="007D1FDD"/>
    <w:rsid w:val="007D20FF"/>
    <w:rsid w:val="007D4075"/>
    <w:rsid w:val="007D60EA"/>
    <w:rsid w:val="007D7381"/>
    <w:rsid w:val="007D73E8"/>
    <w:rsid w:val="007E0434"/>
    <w:rsid w:val="007E6A78"/>
    <w:rsid w:val="007F6E7F"/>
    <w:rsid w:val="00800462"/>
    <w:rsid w:val="00800E9E"/>
    <w:rsid w:val="0080169D"/>
    <w:rsid w:val="00804339"/>
    <w:rsid w:val="0080688C"/>
    <w:rsid w:val="00807F55"/>
    <w:rsid w:val="0081155B"/>
    <w:rsid w:val="008118E9"/>
    <w:rsid w:val="00811B12"/>
    <w:rsid w:val="0081258D"/>
    <w:rsid w:val="0081498C"/>
    <w:rsid w:val="00821064"/>
    <w:rsid w:val="008220CC"/>
    <w:rsid w:val="0082315A"/>
    <w:rsid w:val="00824EF0"/>
    <w:rsid w:val="008303CD"/>
    <w:rsid w:val="0083275C"/>
    <w:rsid w:val="00835A38"/>
    <w:rsid w:val="008368EF"/>
    <w:rsid w:val="00841530"/>
    <w:rsid w:val="00846E1B"/>
    <w:rsid w:val="008470D6"/>
    <w:rsid w:val="0085043E"/>
    <w:rsid w:val="00853101"/>
    <w:rsid w:val="00855333"/>
    <w:rsid w:val="00860645"/>
    <w:rsid w:val="00863559"/>
    <w:rsid w:val="0086631C"/>
    <w:rsid w:val="008663B6"/>
    <w:rsid w:val="008667B6"/>
    <w:rsid w:val="008667FE"/>
    <w:rsid w:val="00866E0A"/>
    <w:rsid w:val="00874CF7"/>
    <w:rsid w:val="008758B0"/>
    <w:rsid w:val="0087629C"/>
    <w:rsid w:val="008768EC"/>
    <w:rsid w:val="00876CF7"/>
    <w:rsid w:val="00876E20"/>
    <w:rsid w:val="008801C3"/>
    <w:rsid w:val="00880A79"/>
    <w:rsid w:val="0088101E"/>
    <w:rsid w:val="00881A64"/>
    <w:rsid w:val="008834E9"/>
    <w:rsid w:val="00883A3F"/>
    <w:rsid w:val="00883DB9"/>
    <w:rsid w:val="00884382"/>
    <w:rsid w:val="00884D90"/>
    <w:rsid w:val="008851E4"/>
    <w:rsid w:val="00886C68"/>
    <w:rsid w:val="00886FBB"/>
    <w:rsid w:val="00892A87"/>
    <w:rsid w:val="008934DB"/>
    <w:rsid w:val="008949C9"/>
    <w:rsid w:val="00894E37"/>
    <w:rsid w:val="00896384"/>
    <w:rsid w:val="008972D7"/>
    <w:rsid w:val="0089773A"/>
    <w:rsid w:val="008A254A"/>
    <w:rsid w:val="008A2B22"/>
    <w:rsid w:val="008A43B6"/>
    <w:rsid w:val="008A4AD0"/>
    <w:rsid w:val="008A6627"/>
    <w:rsid w:val="008B0ADC"/>
    <w:rsid w:val="008B54D6"/>
    <w:rsid w:val="008B75B4"/>
    <w:rsid w:val="008B7AD5"/>
    <w:rsid w:val="008C0361"/>
    <w:rsid w:val="008C2B0C"/>
    <w:rsid w:val="008C32D5"/>
    <w:rsid w:val="008C3C63"/>
    <w:rsid w:val="008C455B"/>
    <w:rsid w:val="008C4784"/>
    <w:rsid w:val="008C648D"/>
    <w:rsid w:val="008C65F8"/>
    <w:rsid w:val="008C7A9D"/>
    <w:rsid w:val="008D0671"/>
    <w:rsid w:val="008D3D6C"/>
    <w:rsid w:val="008D5E9A"/>
    <w:rsid w:val="008D71C2"/>
    <w:rsid w:val="008E3068"/>
    <w:rsid w:val="008E70DA"/>
    <w:rsid w:val="008F09C6"/>
    <w:rsid w:val="008F1E62"/>
    <w:rsid w:val="008F2FF4"/>
    <w:rsid w:val="008F358B"/>
    <w:rsid w:val="008F420C"/>
    <w:rsid w:val="008F4228"/>
    <w:rsid w:val="008F7B66"/>
    <w:rsid w:val="00901EE6"/>
    <w:rsid w:val="00902CCD"/>
    <w:rsid w:val="0090599E"/>
    <w:rsid w:val="00905B8A"/>
    <w:rsid w:val="00905EE1"/>
    <w:rsid w:val="009075FE"/>
    <w:rsid w:val="00907E0E"/>
    <w:rsid w:val="009103A1"/>
    <w:rsid w:val="0091100E"/>
    <w:rsid w:val="00911FD3"/>
    <w:rsid w:val="00912EB7"/>
    <w:rsid w:val="00915EF6"/>
    <w:rsid w:val="00920AC6"/>
    <w:rsid w:val="009219EB"/>
    <w:rsid w:val="009229D4"/>
    <w:rsid w:val="00923FF1"/>
    <w:rsid w:val="00924624"/>
    <w:rsid w:val="00924CA4"/>
    <w:rsid w:val="009259D9"/>
    <w:rsid w:val="00925B2F"/>
    <w:rsid w:val="00926F90"/>
    <w:rsid w:val="00926FF6"/>
    <w:rsid w:val="00927728"/>
    <w:rsid w:val="00927747"/>
    <w:rsid w:val="0093200E"/>
    <w:rsid w:val="00933E93"/>
    <w:rsid w:val="0093510A"/>
    <w:rsid w:val="0093551B"/>
    <w:rsid w:val="00937730"/>
    <w:rsid w:val="00944239"/>
    <w:rsid w:val="00950295"/>
    <w:rsid w:val="0095117A"/>
    <w:rsid w:val="00951DA6"/>
    <w:rsid w:val="00953A9D"/>
    <w:rsid w:val="009560C9"/>
    <w:rsid w:val="00956746"/>
    <w:rsid w:val="00960A14"/>
    <w:rsid w:val="00960CB7"/>
    <w:rsid w:val="00960DF3"/>
    <w:rsid w:val="0096305E"/>
    <w:rsid w:val="009640F3"/>
    <w:rsid w:val="00964BE8"/>
    <w:rsid w:val="00964F0A"/>
    <w:rsid w:val="00965680"/>
    <w:rsid w:val="00966B01"/>
    <w:rsid w:val="009706A0"/>
    <w:rsid w:val="00974755"/>
    <w:rsid w:val="00974A21"/>
    <w:rsid w:val="00974B49"/>
    <w:rsid w:val="00982676"/>
    <w:rsid w:val="00983261"/>
    <w:rsid w:val="009834CB"/>
    <w:rsid w:val="009835B1"/>
    <w:rsid w:val="00992FB2"/>
    <w:rsid w:val="00993570"/>
    <w:rsid w:val="009961CE"/>
    <w:rsid w:val="009961E2"/>
    <w:rsid w:val="009A1307"/>
    <w:rsid w:val="009A295A"/>
    <w:rsid w:val="009A475C"/>
    <w:rsid w:val="009A66E5"/>
    <w:rsid w:val="009A6C9C"/>
    <w:rsid w:val="009B2587"/>
    <w:rsid w:val="009B576F"/>
    <w:rsid w:val="009B6580"/>
    <w:rsid w:val="009B730C"/>
    <w:rsid w:val="009C07F9"/>
    <w:rsid w:val="009C0AC0"/>
    <w:rsid w:val="009C35FE"/>
    <w:rsid w:val="009C4601"/>
    <w:rsid w:val="009C6156"/>
    <w:rsid w:val="009C7068"/>
    <w:rsid w:val="009D49CA"/>
    <w:rsid w:val="009D580A"/>
    <w:rsid w:val="009D6857"/>
    <w:rsid w:val="009D697D"/>
    <w:rsid w:val="009D7031"/>
    <w:rsid w:val="009D73B8"/>
    <w:rsid w:val="009E409E"/>
    <w:rsid w:val="009F5FEE"/>
    <w:rsid w:val="009F646E"/>
    <w:rsid w:val="009F72A5"/>
    <w:rsid w:val="00A00069"/>
    <w:rsid w:val="00A01FF7"/>
    <w:rsid w:val="00A05995"/>
    <w:rsid w:val="00A155DF"/>
    <w:rsid w:val="00A259DE"/>
    <w:rsid w:val="00A26325"/>
    <w:rsid w:val="00A329E2"/>
    <w:rsid w:val="00A3384A"/>
    <w:rsid w:val="00A33A85"/>
    <w:rsid w:val="00A3642D"/>
    <w:rsid w:val="00A4073B"/>
    <w:rsid w:val="00A414B6"/>
    <w:rsid w:val="00A41BFB"/>
    <w:rsid w:val="00A425B7"/>
    <w:rsid w:val="00A431B7"/>
    <w:rsid w:val="00A44027"/>
    <w:rsid w:val="00A4477E"/>
    <w:rsid w:val="00A50BB2"/>
    <w:rsid w:val="00A50E59"/>
    <w:rsid w:val="00A51049"/>
    <w:rsid w:val="00A5180C"/>
    <w:rsid w:val="00A53BF3"/>
    <w:rsid w:val="00A56B07"/>
    <w:rsid w:val="00A6029C"/>
    <w:rsid w:val="00A60877"/>
    <w:rsid w:val="00A6198E"/>
    <w:rsid w:val="00A6216B"/>
    <w:rsid w:val="00A63400"/>
    <w:rsid w:val="00A652F5"/>
    <w:rsid w:val="00A65368"/>
    <w:rsid w:val="00A7016F"/>
    <w:rsid w:val="00A70354"/>
    <w:rsid w:val="00A70963"/>
    <w:rsid w:val="00A7148B"/>
    <w:rsid w:val="00A72538"/>
    <w:rsid w:val="00A76A71"/>
    <w:rsid w:val="00A83E20"/>
    <w:rsid w:val="00A84889"/>
    <w:rsid w:val="00A86AB8"/>
    <w:rsid w:val="00A917C0"/>
    <w:rsid w:val="00A9225D"/>
    <w:rsid w:val="00A93A1C"/>
    <w:rsid w:val="00A94AC8"/>
    <w:rsid w:val="00AA1651"/>
    <w:rsid w:val="00AA4834"/>
    <w:rsid w:val="00AA627A"/>
    <w:rsid w:val="00AB1738"/>
    <w:rsid w:val="00AB222E"/>
    <w:rsid w:val="00AB468F"/>
    <w:rsid w:val="00AB6BBE"/>
    <w:rsid w:val="00AC3DD9"/>
    <w:rsid w:val="00AD0C81"/>
    <w:rsid w:val="00AD15F5"/>
    <w:rsid w:val="00AE3BE3"/>
    <w:rsid w:val="00AE4895"/>
    <w:rsid w:val="00AF25F9"/>
    <w:rsid w:val="00AF2977"/>
    <w:rsid w:val="00AF32DE"/>
    <w:rsid w:val="00AF515E"/>
    <w:rsid w:val="00AF5C36"/>
    <w:rsid w:val="00AF6820"/>
    <w:rsid w:val="00AF6971"/>
    <w:rsid w:val="00B00941"/>
    <w:rsid w:val="00B037BF"/>
    <w:rsid w:val="00B039C5"/>
    <w:rsid w:val="00B03AC5"/>
    <w:rsid w:val="00B06599"/>
    <w:rsid w:val="00B12B32"/>
    <w:rsid w:val="00B14608"/>
    <w:rsid w:val="00B150C1"/>
    <w:rsid w:val="00B15473"/>
    <w:rsid w:val="00B1627B"/>
    <w:rsid w:val="00B17242"/>
    <w:rsid w:val="00B20A02"/>
    <w:rsid w:val="00B22DA2"/>
    <w:rsid w:val="00B26A6C"/>
    <w:rsid w:val="00B33CCA"/>
    <w:rsid w:val="00B36609"/>
    <w:rsid w:val="00B374DD"/>
    <w:rsid w:val="00B40F9F"/>
    <w:rsid w:val="00B43403"/>
    <w:rsid w:val="00B434C4"/>
    <w:rsid w:val="00B44D07"/>
    <w:rsid w:val="00B45992"/>
    <w:rsid w:val="00B5017E"/>
    <w:rsid w:val="00B501E4"/>
    <w:rsid w:val="00B54E25"/>
    <w:rsid w:val="00B609A2"/>
    <w:rsid w:val="00B67E28"/>
    <w:rsid w:val="00B71CEA"/>
    <w:rsid w:val="00B72C35"/>
    <w:rsid w:val="00B73EB8"/>
    <w:rsid w:val="00B77725"/>
    <w:rsid w:val="00B7778A"/>
    <w:rsid w:val="00B81466"/>
    <w:rsid w:val="00B82797"/>
    <w:rsid w:val="00B82F69"/>
    <w:rsid w:val="00B847C1"/>
    <w:rsid w:val="00B91987"/>
    <w:rsid w:val="00B9623E"/>
    <w:rsid w:val="00BA0C90"/>
    <w:rsid w:val="00BA1D56"/>
    <w:rsid w:val="00BA2D4A"/>
    <w:rsid w:val="00BA34F2"/>
    <w:rsid w:val="00BA6D30"/>
    <w:rsid w:val="00BA7430"/>
    <w:rsid w:val="00BA757F"/>
    <w:rsid w:val="00BB0679"/>
    <w:rsid w:val="00BB0EE9"/>
    <w:rsid w:val="00BB1065"/>
    <w:rsid w:val="00BB127A"/>
    <w:rsid w:val="00BB2E7A"/>
    <w:rsid w:val="00BC1731"/>
    <w:rsid w:val="00BC1BFD"/>
    <w:rsid w:val="00BC1E4C"/>
    <w:rsid w:val="00BC48E9"/>
    <w:rsid w:val="00BC6C75"/>
    <w:rsid w:val="00BD098B"/>
    <w:rsid w:val="00BD1177"/>
    <w:rsid w:val="00BD1D98"/>
    <w:rsid w:val="00BD2C10"/>
    <w:rsid w:val="00BD4787"/>
    <w:rsid w:val="00BD7E30"/>
    <w:rsid w:val="00BE2C63"/>
    <w:rsid w:val="00BE54A8"/>
    <w:rsid w:val="00BE7540"/>
    <w:rsid w:val="00BE7F37"/>
    <w:rsid w:val="00BE7FB1"/>
    <w:rsid w:val="00BF0494"/>
    <w:rsid w:val="00BF0C93"/>
    <w:rsid w:val="00BF31F2"/>
    <w:rsid w:val="00BF554F"/>
    <w:rsid w:val="00BF65E7"/>
    <w:rsid w:val="00BF676A"/>
    <w:rsid w:val="00BF73A6"/>
    <w:rsid w:val="00C00F80"/>
    <w:rsid w:val="00C01BC4"/>
    <w:rsid w:val="00C02B8B"/>
    <w:rsid w:val="00C04EF5"/>
    <w:rsid w:val="00C05234"/>
    <w:rsid w:val="00C05495"/>
    <w:rsid w:val="00C11549"/>
    <w:rsid w:val="00C122FB"/>
    <w:rsid w:val="00C13F7D"/>
    <w:rsid w:val="00C155F8"/>
    <w:rsid w:val="00C17FFD"/>
    <w:rsid w:val="00C20624"/>
    <w:rsid w:val="00C222D9"/>
    <w:rsid w:val="00C24553"/>
    <w:rsid w:val="00C25B88"/>
    <w:rsid w:val="00C269B6"/>
    <w:rsid w:val="00C27CFA"/>
    <w:rsid w:val="00C32981"/>
    <w:rsid w:val="00C334AA"/>
    <w:rsid w:val="00C34690"/>
    <w:rsid w:val="00C403CF"/>
    <w:rsid w:val="00C41864"/>
    <w:rsid w:val="00C42FA5"/>
    <w:rsid w:val="00C4437F"/>
    <w:rsid w:val="00C45D45"/>
    <w:rsid w:val="00C479D1"/>
    <w:rsid w:val="00C50ADF"/>
    <w:rsid w:val="00C54B49"/>
    <w:rsid w:val="00C569D4"/>
    <w:rsid w:val="00C56BC0"/>
    <w:rsid w:val="00C57615"/>
    <w:rsid w:val="00C57E14"/>
    <w:rsid w:val="00C61126"/>
    <w:rsid w:val="00C641D7"/>
    <w:rsid w:val="00C6422F"/>
    <w:rsid w:val="00C64731"/>
    <w:rsid w:val="00C65F98"/>
    <w:rsid w:val="00C66AFD"/>
    <w:rsid w:val="00C66E91"/>
    <w:rsid w:val="00C67A68"/>
    <w:rsid w:val="00C67E68"/>
    <w:rsid w:val="00C70106"/>
    <w:rsid w:val="00C706C5"/>
    <w:rsid w:val="00C70C51"/>
    <w:rsid w:val="00C72938"/>
    <w:rsid w:val="00C72D6F"/>
    <w:rsid w:val="00C730AA"/>
    <w:rsid w:val="00C739E4"/>
    <w:rsid w:val="00C73ABE"/>
    <w:rsid w:val="00C74405"/>
    <w:rsid w:val="00C750E0"/>
    <w:rsid w:val="00C762DA"/>
    <w:rsid w:val="00C8254B"/>
    <w:rsid w:val="00C8628B"/>
    <w:rsid w:val="00C86ABB"/>
    <w:rsid w:val="00C86F34"/>
    <w:rsid w:val="00C90298"/>
    <w:rsid w:val="00C9227A"/>
    <w:rsid w:val="00C9455C"/>
    <w:rsid w:val="00C94F04"/>
    <w:rsid w:val="00C967DD"/>
    <w:rsid w:val="00C97939"/>
    <w:rsid w:val="00CA0470"/>
    <w:rsid w:val="00CA1624"/>
    <w:rsid w:val="00CA3117"/>
    <w:rsid w:val="00CA4531"/>
    <w:rsid w:val="00CA6CDC"/>
    <w:rsid w:val="00CA7774"/>
    <w:rsid w:val="00CB17BE"/>
    <w:rsid w:val="00CB1E92"/>
    <w:rsid w:val="00CB2654"/>
    <w:rsid w:val="00CB5B08"/>
    <w:rsid w:val="00CB6564"/>
    <w:rsid w:val="00CB6BA2"/>
    <w:rsid w:val="00CB6DBD"/>
    <w:rsid w:val="00CC1E20"/>
    <w:rsid w:val="00CC437A"/>
    <w:rsid w:val="00CC4605"/>
    <w:rsid w:val="00CC4FCD"/>
    <w:rsid w:val="00CC6D1F"/>
    <w:rsid w:val="00CC6F43"/>
    <w:rsid w:val="00CD0B01"/>
    <w:rsid w:val="00CD31A0"/>
    <w:rsid w:val="00CD4DF2"/>
    <w:rsid w:val="00CD592C"/>
    <w:rsid w:val="00CD6BDA"/>
    <w:rsid w:val="00CD7959"/>
    <w:rsid w:val="00CD7BB1"/>
    <w:rsid w:val="00CD7FBB"/>
    <w:rsid w:val="00CE08A0"/>
    <w:rsid w:val="00CE5128"/>
    <w:rsid w:val="00CE5F9B"/>
    <w:rsid w:val="00CF1079"/>
    <w:rsid w:val="00CF6299"/>
    <w:rsid w:val="00CF6A54"/>
    <w:rsid w:val="00CF716A"/>
    <w:rsid w:val="00D00275"/>
    <w:rsid w:val="00D00ED8"/>
    <w:rsid w:val="00D05277"/>
    <w:rsid w:val="00D0565D"/>
    <w:rsid w:val="00D06B8D"/>
    <w:rsid w:val="00D07037"/>
    <w:rsid w:val="00D102BC"/>
    <w:rsid w:val="00D10389"/>
    <w:rsid w:val="00D10C2B"/>
    <w:rsid w:val="00D11719"/>
    <w:rsid w:val="00D162F1"/>
    <w:rsid w:val="00D16CAA"/>
    <w:rsid w:val="00D223B1"/>
    <w:rsid w:val="00D25381"/>
    <w:rsid w:val="00D31B79"/>
    <w:rsid w:val="00D328D6"/>
    <w:rsid w:val="00D42276"/>
    <w:rsid w:val="00D43EEE"/>
    <w:rsid w:val="00D44678"/>
    <w:rsid w:val="00D44C31"/>
    <w:rsid w:val="00D45274"/>
    <w:rsid w:val="00D458B2"/>
    <w:rsid w:val="00D462A4"/>
    <w:rsid w:val="00D4670B"/>
    <w:rsid w:val="00D47BC8"/>
    <w:rsid w:val="00D54C3F"/>
    <w:rsid w:val="00D5638C"/>
    <w:rsid w:val="00D56C7C"/>
    <w:rsid w:val="00D56F2C"/>
    <w:rsid w:val="00D6003C"/>
    <w:rsid w:val="00D613EA"/>
    <w:rsid w:val="00D70940"/>
    <w:rsid w:val="00D72CA1"/>
    <w:rsid w:val="00D74754"/>
    <w:rsid w:val="00D75378"/>
    <w:rsid w:val="00D75FAC"/>
    <w:rsid w:val="00D8039B"/>
    <w:rsid w:val="00D803A7"/>
    <w:rsid w:val="00D80BDB"/>
    <w:rsid w:val="00D82C09"/>
    <w:rsid w:val="00D87154"/>
    <w:rsid w:val="00D875AB"/>
    <w:rsid w:val="00D87E59"/>
    <w:rsid w:val="00D911DD"/>
    <w:rsid w:val="00D91C68"/>
    <w:rsid w:val="00D961B7"/>
    <w:rsid w:val="00D97170"/>
    <w:rsid w:val="00D975CD"/>
    <w:rsid w:val="00DA26AA"/>
    <w:rsid w:val="00DA41DE"/>
    <w:rsid w:val="00DA4DF6"/>
    <w:rsid w:val="00DA571F"/>
    <w:rsid w:val="00DA6581"/>
    <w:rsid w:val="00DA737A"/>
    <w:rsid w:val="00DA777F"/>
    <w:rsid w:val="00DB46B6"/>
    <w:rsid w:val="00DB70F5"/>
    <w:rsid w:val="00DC0261"/>
    <w:rsid w:val="00DC1342"/>
    <w:rsid w:val="00DC2E47"/>
    <w:rsid w:val="00DD0BFB"/>
    <w:rsid w:val="00DD3577"/>
    <w:rsid w:val="00DD3626"/>
    <w:rsid w:val="00DD4E7B"/>
    <w:rsid w:val="00DD5A8D"/>
    <w:rsid w:val="00DE2507"/>
    <w:rsid w:val="00DE31AE"/>
    <w:rsid w:val="00DE6906"/>
    <w:rsid w:val="00DF3D70"/>
    <w:rsid w:val="00DF3E1F"/>
    <w:rsid w:val="00E01669"/>
    <w:rsid w:val="00E03AF4"/>
    <w:rsid w:val="00E057C5"/>
    <w:rsid w:val="00E06E4D"/>
    <w:rsid w:val="00E10851"/>
    <w:rsid w:val="00E10BC9"/>
    <w:rsid w:val="00E1240E"/>
    <w:rsid w:val="00E1628A"/>
    <w:rsid w:val="00E20BC8"/>
    <w:rsid w:val="00E21A1F"/>
    <w:rsid w:val="00E253BC"/>
    <w:rsid w:val="00E268EB"/>
    <w:rsid w:val="00E3021B"/>
    <w:rsid w:val="00E33863"/>
    <w:rsid w:val="00E34EB2"/>
    <w:rsid w:val="00E379B6"/>
    <w:rsid w:val="00E41968"/>
    <w:rsid w:val="00E42EEB"/>
    <w:rsid w:val="00E441D5"/>
    <w:rsid w:val="00E448B6"/>
    <w:rsid w:val="00E453EC"/>
    <w:rsid w:val="00E500A1"/>
    <w:rsid w:val="00E51C17"/>
    <w:rsid w:val="00E55DEE"/>
    <w:rsid w:val="00E56608"/>
    <w:rsid w:val="00E60127"/>
    <w:rsid w:val="00E61D04"/>
    <w:rsid w:val="00E6254E"/>
    <w:rsid w:val="00E638DE"/>
    <w:rsid w:val="00E64456"/>
    <w:rsid w:val="00E664F2"/>
    <w:rsid w:val="00E679F0"/>
    <w:rsid w:val="00E72613"/>
    <w:rsid w:val="00E73680"/>
    <w:rsid w:val="00E75895"/>
    <w:rsid w:val="00E77477"/>
    <w:rsid w:val="00E8171F"/>
    <w:rsid w:val="00E829B9"/>
    <w:rsid w:val="00E82B96"/>
    <w:rsid w:val="00E82EF1"/>
    <w:rsid w:val="00E837B7"/>
    <w:rsid w:val="00E8390C"/>
    <w:rsid w:val="00E86866"/>
    <w:rsid w:val="00E91543"/>
    <w:rsid w:val="00E91EE2"/>
    <w:rsid w:val="00E9386B"/>
    <w:rsid w:val="00E961E5"/>
    <w:rsid w:val="00EA0B3E"/>
    <w:rsid w:val="00EA387A"/>
    <w:rsid w:val="00EA4220"/>
    <w:rsid w:val="00EB0D05"/>
    <w:rsid w:val="00EB1830"/>
    <w:rsid w:val="00EB1E04"/>
    <w:rsid w:val="00EB580B"/>
    <w:rsid w:val="00EB79A9"/>
    <w:rsid w:val="00EC282B"/>
    <w:rsid w:val="00EC46E4"/>
    <w:rsid w:val="00ED7A1E"/>
    <w:rsid w:val="00ED7F22"/>
    <w:rsid w:val="00EE4412"/>
    <w:rsid w:val="00EE6644"/>
    <w:rsid w:val="00EE7001"/>
    <w:rsid w:val="00EF0FE8"/>
    <w:rsid w:val="00EF34A6"/>
    <w:rsid w:val="00EF4E38"/>
    <w:rsid w:val="00EF669B"/>
    <w:rsid w:val="00EF71FA"/>
    <w:rsid w:val="00EF7DAA"/>
    <w:rsid w:val="00F0171D"/>
    <w:rsid w:val="00F022C0"/>
    <w:rsid w:val="00F023B1"/>
    <w:rsid w:val="00F026E6"/>
    <w:rsid w:val="00F040F4"/>
    <w:rsid w:val="00F05112"/>
    <w:rsid w:val="00F05CF3"/>
    <w:rsid w:val="00F140F4"/>
    <w:rsid w:val="00F14633"/>
    <w:rsid w:val="00F160C4"/>
    <w:rsid w:val="00F165E1"/>
    <w:rsid w:val="00F20293"/>
    <w:rsid w:val="00F24AA0"/>
    <w:rsid w:val="00F25702"/>
    <w:rsid w:val="00F2777F"/>
    <w:rsid w:val="00F324D0"/>
    <w:rsid w:val="00F35277"/>
    <w:rsid w:val="00F37290"/>
    <w:rsid w:val="00F40C88"/>
    <w:rsid w:val="00F4108E"/>
    <w:rsid w:val="00F4267A"/>
    <w:rsid w:val="00F454A2"/>
    <w:rsid w:val="00F459D2"/>
    <w:rsid w:val="00F5227D"/>
    <w:rsid w:val="00F52476"/>
    <w:rsid w:val="00F5296C"/>
    <w:rsid w:val="00F6545A"/>
    <w:rsid w:val="00F6693F"/>
    <w:rsid w:val="00F709BE"/>
    <w:rsid w:val="00F7148D"/>
    <w:rsid w:val="00F72138"/>
    <w:rsid w:val="00F74209"/>
    <w:rsid w:val="00F75A8E"/>
    <w:rsid w:val="00F802BA"/>
    <w:rsid w:val="00F83002"/>
    <w:rsid w:val="00F857F2"/>
    <w:rsid w:val="00F85E61"/>
    <w:rsid w:val="00F86DBB"/>
    <w:rsid w:val="00F91E23"/>
    <w:rsid w:val="00F9688F"/>
    <w:rsid w:val="00FA2CEC"/>
    <w:rsid w:val="00FA2E6D"/>
    <w:rsid w:val="00FA6077"/>
    <w:rsid w:val="00FA77A9"/>
    <w:rsid w:val="00FA7B36"/>
    <w:rsid w:val="00FB0DD2"/>
    <w:rsid w:val="00FB10B4"/>
    <w:rsid w:val="00FB143B"/>
    <w:rsid w:val="00FB1A48"/>
    <w:rsid w:val="00FB1FA1"/>
    <w:rsid w:val="00FB3498"/>
    <w:rsid w:val="00FB7C80"/>
    <w:rsid w:val="00FC0285"/>
    <w:rsid w:val="00FC092F"/>
    <w:rsid w:val="00FC0A32"/>
    <w:rsid w:val="00FC0AF2"/>
    <w:rsid w:val="00FC6CA9"/>
    <w:rsid w:val="00FD1F6A"/>
    <w:rsid w:val="00FD2ADB"/>
    <w:rsid w:val="00FD2D94"/>
    <w:rsid w:val="00FD2DC3"/>
    <w:rsid w:val="00FD4401"/>
    <w:rsid w:val="00FD45A4"/>
    <w:rsid w:val="00FD70FE"/>
    <w:rsid w:val="00FE1D3E"/>
    <w:rsid w:val="00FF59D4"/>
    <w:rsid w:val="00FF7020"/>
    <w:rsid w:val="00FF72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FD2D94"/>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E34EB2"/>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E34EB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E34EB2"/>
    <w:pPr>
      <w:keepNext/>
      <w:numPr>
        <w:ilvl w:val="3"/>
        <w:numId w:val="1"/>
      </w:numPr>
      <w:spacing w:before="240" w:after="60"/>
      <w:outlineLvl w:val="3"/>
    </w:pPr>
    <w:rPr>
      <w:b/>
      <w:bCs/>
      <w:sz w:val="28"/>
      <w:szCs w:val="28"/>
    </w:rPr>
  </w:style>
  <w:style w:type="paragraph" w:styleId="Heading5">
    <w:name w:val="heading 5"/>
    <w:basedOn w:val="Normal"/>
    <w:next w:val="Normal"/>
    <w:qFormat/>
    <w:rsid w:val="00E34EB2"/>
    <w:pPr>
      <w:numPr>
        <w:ilvl w:val="4"/>
        <w:numId w:val="1"/>
      </w:numPr>
      <w:spacing w:before="240" w:after="60"/>
      <w:outlineLvl w:val="4"/>
    </w:pPr>
    <w:rPr>
      <w:b/>
      <w:bCs/>
      <w:i/>
      <w:iCs/>
      <w:sz w:val="26"/>
      <w:szCs w:val="26"/>
    </w:rPr>
  </w:style>
  <w:style w:type="paragraph" w:styleId="Heading6">
    <w:name w:val="heading 6"/>
    <w:basedOn w:val="Normal"/>
    <w:next w:val="Normal"/>
    <w:qFormat/>
    <w:rsid w:val="00E34EB2"/>
    <w:pPr>
      <w:numPr>
        <w:ilvl w:val="5"/>
        <w:numId w:val="1"/>
      </w:numPr>
      <w:spacing w:before="240" w:after="60"/>
      <w:outlineLvl w:val="5"/>
    </w:pPr>
    <w:rPr>
      <w:b/>
      <w:bCs/>
      <w:sz w:val="22"/>
      <w:szCs w:val="22"/>
    </w:rPr>
  </w:style>
  <w:style w:type="paragraph" w:styleId="Heading7">
    <w:name w:val="heading 7"/>
    <w:basedOn w:val="Normal"/>
    <w:next w:val="Normal"/>
    <w:qFormat/>
    <w:rsid w:val="00E34EB2"/>
    <w:pPr>
      <w:numPr>
        <w:ilvl w:val="6"/>
        <w:numId w:val="1"/>
      </w:numPr>
      <w:spacing w:before="240" w:after="60"/>
      <w:outlineLvl w:val="6"/>
    </w:pPr>
  </w:style>
  <w:style w:type="paragraph" w:styleId="Heading8">
    <w:name w:val="heading 8"/>
    <w:basedOn w:val="Normal"/>
    <w:next w:val="Normal"/>
    <w:qFormat/>
    <w:rsid w:val="00E34EB2"/>
    <w:pPr>
      <w:numPr>
        <w:ilvl w:val="7"/>
        <w:numId w:val="1"/>
      </w:numPr>
      <w:spacing w:before="240" w:after="60"/>
      <w:outlineLvl w:val="7"/>
    </w:pPr>
    <w:rPr>
      <w:i/>
      <w:iCs/>
    </w:rPr>
  </w:style>
  <w:style w:type="paragraph" w:styleId="Heading9">
    <w:name w:val="heading 9"/>
    <w:basedOn w:val="Normal"/>
    <w:next w:val="Normal"/>
    <w:qFormat/>
    <w:rsid w:val="00E34EB2"/>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AHeading">
    <w:name w:val="toa heading"/>
    <w:basedOn w:val="Normal"/>
    <w:next w:val="Normal"/>
    <w:autoRedefine/>
    <w:semiHidden/>
    <w:rsid w:val="007303B2"/>
    <w:pPr>
      <w:spacing w:line="480" w:lineRule="auto"/>
      <w:jc w:val="center"/>
    </w:pPr>
    <w:rPr>
      <w:rFonts w:cs="Arial"/>
      <w:b/>
      <w:bCs/>
      <w:sz w:val="28"/>
    </w:rPr>
  </w:style>
  <w:style w:type="paragraph" w:styleId="TableofAuthorities">
    <w:name w:val="table of authorities"/>
    <w:basedOn w:val="Normal"/>
    <w:next w:val="Normal"/>
    <w:autoRedefine/>
    <w:semiHidden/>
    <w:rsid w:val="007303B2"/>
    <w:pPr>
      <w:spacing w:line="480" w:lineRule="auto"/>
      <w:ind w:left="202" w:hanging="202"/>
    </w:pPr>
    <w:rPr>
      <w:sz w:val="28"/>
      <w:szCs w:val="20"/>
    </w:rPr>
  </w:style>
  <w:style w:type="paragraph" w:styleId="TOC1">
    <w:name w:val="toc 1"/>
    <w:basedOn w:val="Normal"/>
    <w:next w:val="Normal"/>
    <w:autoRedefine/>
    <w:semiHidden/>
    <w:rsid w:val="00592F1C"/>
    <w:rPr>
      <w:sz w:val="28"/>
      <w:szCs w:val="20"/>
    </w:rPr>
  </w:style>
  <w:style w:type="paragraph" w:styleId="TOC2">
    <w:name w:val="toc 2"/>
    <w:basedOn w:val="Normal"/>
    <w:next w:val="Normal"/>
    <w:autoRedefine/>
    <w:semiHidden/>
    <w:rsid w:val="00592F1C"/>
    <w:pPr>
      <w:ind w:left="200"/>
    </w:pPr>
    <w:rPr>
      <w:sz w:val="28"/>
      <w:szCs w:val="20"/>
    </w:rPr>
  </w:style>
  <w:style w:type="paragraph" w:styleId="TOC3">
    <w:name w:val="toc 3"/>
    <w:basedOn w:val="Normal"/>
    <w:next w:val="Normal"/>
    <w:autoRedefine/>
    <w:semiHidden/>
    <w:rsid w:val="00592F1C"/>
    <w:pPr>
      <w:ind w:left="400"/>
    </w:pPr>
    <w:rPr>
      <w:sz w:val="28"/>
      <w:szCs w:val="20"/>
    </w:rPr>
  </w:style>
  <w:style w:type="paragraph" w:styleId="TOC4">
    <w:name w:val="toc 4"/>
    <w:basedOn w:val="Normal"/>
    <w:next w:val="Normal"/>
    <w:autoRedefine/>
    <w:semiHidden/>
    <w:rsid w:val="00592F1C"/>
    <w:pPr>
      <w:ind w:left="600"/>
    </w:pPr>
    <w:rPr>
      <w:sz w:val="28"/>
      <w:szCs w:val="20"/>
    </w:rPr>
  </w:style>
  <w:style w:type="paragraph" w:styleId="FootnoteText">
    <w:name w:val="footnote text"/>
    <w:basedOn w:val="Normal"/>
    <w:semiHidden/>
    <w:rsid w:val="00D458B2"/>
    <w:rPr>
      <w:sz w:val="20"/>
      <w:szCs w:val="20"/>
    </w:rPr>
  </w:style>
  <w:style w:type="character" w:styleId="FootnoteReference">
    <w:name w:val="footnote reference"/>
    <w:basedOn w:val="DefaultParagraphFont"/>
    <w:semiHidden/>
    <w:rsid w:val="00D458B2"/>
    <w:rPr>
      <w:vertAlign w:val="superscript"/>
    </w:rPr>
  </w:style>
  <w:style w:type="character" w:styleId="Hyperlink">
    <w:name w:val="Hyperlink"/>
    <w:basedOn w:val="DefaultParagraphFont"/>
    <w:rsid w:val="004475CE"/>
    <w:rPr>
      <w:color w:val="0000FF"/>
      <w:u w:val="single"/>
    </w:rPr>
  </w:style>
  <w:style w:type="paragraph" w:styleId="Footer">
    <w:name w:val="footer"/>
    <w:basedOn w:val="Normal"/>
    <w:rsid w:val="009961CE"/>
    <w:pPr>
      <w:tabs>
        <w:tab w:val="center" w:pos="4320"/>
        <w:tab w:val="right" w:pos="8640"/>
      </w:tabs>
    </w:pPr>
  </w:style>
  <w:style w:type="character" w:styleId="PageNumber">
    <w:name w:val="page number"/>
    <w:basedOn w:val="DefaultParagraphFont"/>
    <w:rsid w:val="009961CE"/>
  </w:style>
  <w:style w:type="paragraph" w:styleId="BalloonText">
    <w:name w:val="Balloon Text"/>
    <w:basedOn w:val="Normal"/>
    <w:semiHidden/>
    <w:rsid w:val="00C762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737293">
      <w:bodyDiv w:val="1"/>
      <w:marLeft w:val="0"/>
      <w:marRight w:val="0"/>
      <w:marTop w:val="0"/>
      <w:marBottom w:val="0"/>
      <w:divBdr>
        <w:top w:val="none" w:sz="0" w:space="0" w:color="auto"/>
        <w:left w:val="none" w:sz="0" w:space="0" w:color="auto"/>
        <w:bottom w:val="none" w:sz="0" w:space="0" w:color="auto"/>
        <w:right w:val="none" w:sz="0" w:space="0" w:color="auto"/>
      </w:divBdr>
      <w:divsChild>
        <w:div w:id="1432817595">
          <w:marLeft w:val="0"/>
          <w:marRight w:val="0"/>
          <w:marTop w:val="0"/>
          <w:marBottom w:val="0"/>
          <w:divBdr>
            <w:top w:val="none" w:sz="0" w:space="0" w:color="auto"/>
            <w:left w:val="none" w:sz="0" w:space="0" w:color="auto"/>
            <w:bottom w:val="none" w:sz="0" w:space="0" w:color="auto"/>
            <w:right w:val="none" w:sz="0" w:space="0" w:color="auto"/>
          </w:divBdr>
          <w:divsChild>
            <w:div w:id="446781532">
              <w:marLeft w:val="0"/>
              <w:marRight w:val="0"/>
              <w:marTop w:val="0"/>
              <w:marBottom w:val="0"/>
              <w:divBdr>
                <w:top w:val="none" w:sz="0" w:space="0" w:color="auto"/>
                <w:left w:val="none" w:sz="0" w:space="0" w:color="auto"/>
                <w:bottom w:val="none" w:sz="0" w:space="0" w:color="auto"/>
                <w:right w:val="none" w:sz="0" w:space="0" w:color="auto"/>
              </w:divBdr>
              <w:divsChild>
                <w:div w:id="1865633862">
                  <w:marLeft w:val="0"/>
                  <w:marRight w:val="0"/>
                  <w:marTop w:val="0"/>
                  <w:marBottom w:val="0"/>
                  <w:divBdr>
                    <w:top w:val="none" w:sz="0" w:space="0" w:color="auto"/>
                    <w:left w:val="none" w:sz="0" w:space="0" w:color="auto"/>
                    <w:bottom w:val="none" w:sz="0" w:space="0" w:color="auto"/>
                    <w:right w:val="none" w:sz="0" w:space="0" w:color="auto"/>
                  </w:divBdr>
                  <w:divsChild>
                    <w:div w:id="48111529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0453">
      <w:bodyDiv w:val="1"/>
      <w:marLeft w:val="0"/>
      <w:marRight w:val="0"/>
      <w:marTop w:val="0"/>
      <w:marBottom w:val="0"/>
      <w:divBdr>
        <w:top w:val="none" w:sz="0" w:space="0" w:color="auto"/>
        <w:left w:val="none" w:sz="0" w:space="0" w:color="auto"/>
        <w:bottom w:val="none" w:sz="0" w:space="0" w:color="auto"/>
        <w:right w:val="none" w:sz="0" w:space="0" w:color="auto"/>
      </w:divBdr>
      <w:divsChild>
        <w:div w:id="1523665375">
          <w:marLeft w:val="0"/>
          <w:marRight w:val="0"/>
          <w:marTop w:val="0"/>
          <w:marBottom w:val="0"/>
          <w:divBdr>
            <w:top w:val="none" w:sz="0" w:space="0" w:color="auto"/>
            <w:left w:val="none" w:sz="0" w:space="0" w:color="auto"/>
            <w:bottom w:val="none" w:sz="0" w:space="0" w:color="auto"/>
            <w:right w:val="none" w:sz="0" w:space="0" w:color="auto"/>
          </w:divBdr>
          <w:divsChild>
            <w:div w:id="1866406099">
              <w:marLeft w:val="0"/>
              <w:marRight w:val="0"/>
              <w:marTop w:val="0"/>
              <w:marBottom w:val="0"/>
              <w:divBdr>
                <w:top w:val="none" w:sz="0" w:space="0" w:color="auto"/>
                <w:left w:val="none" w:sz="0" w:space="0" w:color="auto"/>
                <w:bottom w:val="none" w:sz="0" w:space="0" w:color="auto"/>
                <w:right w:val="none" w:sz="0" w:space="0" w:color="auto"/>
              </w:divBdr>
              <w:divsChild>
                <w:div w:id="723337604">
                  <w:marLeft w:val="0"/>
                  <w:marRight w:val="0"/>
                  <w:marTop w:val="0"/>
                  <w:marBottom w:val="0"/>
                  <w:divBdr>
                    <w:top w:val="none" w:sz="0" w:space="0" w:color="auto"/>
                    <w:left w:val="none" w:sz="0" w:space="0" w:color="auto"/>
                    <w:bottom w:val="none" w:sz="0" w:space="0" w:color="auto"/>
                    <w:right w:val="none" w:sz="0" w:space="0" w:color="auto"/>
                  </w:divBdr>
                  <w:divsChild>
                    <w:div w:id="35245931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6341">
      <w:bodyDiv w:val="1"/>
      <w:marLeft w:val="0"/>
      <w:marRight w:val="0"/>
      <w:marTop w:val="0"/>
      <w:marBottom w:val="0"/>
      <w:divBdr>
        <w:top w:val="none" w:sz="0" w:space="0" w:color="auto"/>
        <w:left w:val="none" w:sz="0" w:space="0" w:color="auto"/>
        <w:bottom w:val="none" w:sz="0" w:space="0" w:color="auto"/>
        <w:right w:val="none" w:sz="0" w:space="0" w:color="auto"/>
      </w:divBdr>
      <w:divsChild>
        <w:div w:id="1424837791">
          <w:marLeft w:val="0"/>
          <w:marRight w:val="0"/>
          <w:marTop w:val="0"/>
          <w:marBottom w:val="0"/>
          <w:divBdr>
            <w:top w:val="none" w:sz="0" w:space="0" w:color="auto"/>
            <w:left w:val="none" w:sz="0" w:space="0" w:color="auto"/>
            <w:bottom w:val="none" w:sz="0" w:space="0" w:color="auto"/>
            <w:right w:val="none" w:sz="0" w:space="0" w:color="auto"/>
          </w:divBdr>
          <w:divsChild>
            <w:div w:id="1534418099">
              <w:marLeft w:val="0"/>
              <w:marRight w:val="0"/>
              <w:marTop w:val="0"/>
              <w:marBottom w:val="0"/>
              <w:divBdr>
                <w:top w:val="none" w:sz="0" w:space="0" w:color="auto"/>
                <w:left w:val="none" w:sz="0" w:space="0" w:color="auto"/>
                <w:bottom w:val="none" w:sz="0" w:space="0" w:color="auto"/>
                <w:right w:val="none" w:sz="0" w:space="0" w:color="auto"/>
              </w:divBdr>
              <w:divsChild>
                <w:div w:id="311981904">
                  <w:marLeft w:val="0"/>
                  <w:marRight w:val="0"/>
                  <w:marTop w:val="0"/>
                  <w:marBottom w:val="0"/>
                  <w:divBdr>
                    <w:top w:val="none" w:sz="0" w:space="0" w:color="auto"/>
                    <w:left w:val="none" w:sz="0" w:space="0" w:color="auto"/>
                    <w:bottom w:val="none" w:sz="0" w:space="0" w:color="auto"/>
                    <w:right w:val="none" w:sz="0" w:space="0" w:color="auto"/>
                  </w:divBdr>
                  <w:divsChild>
                    <w:div w:id="262151170">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258825">
      <w:bodyDiv w:val="1"/>
      <w:marLeft w:val="0"/>
      <w:marRight w:val="0"/>
      <w:marTop w:val="0"/>
      <w:marBottom w:val="0"/>
      <w:divBdr>
        <w:top w:val="none" w:sz="0" w:space="0" w:color="auto"/>
        <w:left w:val="none" w:sz="0" w:space="0" w:color="auto"/>
        <w:bottom w:val="none" w:sz="0" w:space="0" w:color="auto"/>
        <w:right w:val="none" w:sz="0" w:space="0" w:color="auto"/>
      </w:divBdr>
      <w:divsChild>
        <w:div w:id="950015859">
          <w:marLeft w:val="0"/>
          <w:marRight w:val="0"/>
          <w:marTop w:val="0"/>
          <w:marBottom w:val="0"/>
          <w:divBdr>
            <w:top w:val="none" w:sz="0" w:space="0" w:color="auto"/>
            <w:left w:val="none" w:sz="0" w:space="0" w:color="auto"/>
            <w:bottom w:val="none" w:sz="0" w:space="0" w:color="auto"/>
            <w:right w:val="none" w:sz="0" w:space="0" w:color="auto"/>
          </w:divBdr>
          <w:divsChild>
            <w:div w:id="1233354238">
              <w:marLeft w:val="0"/>
              <w:marRight w:val="0"/>
              <w:marTop w:val="0"/>
              <w:marBottom w:val="0"/>
              <w:divBdr>
                <w:top w:val="none" w:sz="0" w:space="0" w:color="auto"/>
                <w:left w:val="none" w:sz="0" w:space="0" w:color="auto"/>
                <w:bottom w:val="none" w:sz="0" w:space="0" w:color="auto"/>
                <w:right w:val="none" w:sz="0" w:space="0" w:color="auto"/>
              </w:divBdr>
              <w:divsChild>
                <w:div w:id="1098216858">
                  <w:marLeft w:val="0"/>
                  <w:marRight w:val="0"/>
                  <w:marTop w:val="0"/>
                  <w:marBottom w:val="0"/>
                  <w:divBdr>
                    <w:top w:val="none" w:sz="0" w:space="0" w:color="auto"/>
                    <w:left w:val="none" w:sz="0" w:space="0" w:color="auto"/>
                    <w:bottom w:val="none" w:sz="0" w:space="0" w:color="auto"/>
                    <w:right w:val="none" w:sz="0" w:space="0" w:color="auto"/>
                  </w:divBdr>
                  <w:divsChild>
                    <w:div w:id="2030643595">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518283">
      <w:bodyDiv w:val="1"/>
      <w:marLeft w:val="0"/>
      <w:marRight w:val="0"/>
      <w:marTop w:val="0"/>
      <w:marBottom w:val="0"/>
      <w:divBdr>
        <w:top w:val="none" w:sz="0" w:space="0" w:color="auto"/>
        <w:left w:val="none" w:sz="0" w:space="0" w:color="auto"/>
        <w:bottom w:val="none" w:sz="0" w:space="0" w:color="auto"/>
        <w:right w:val="none" w:sz="0" w:space="0" w:color="auto"/>
      </w:divBdr>
      <w:divsChild>
        <w:div w:id="175777265">
          <w:marLeft w:val="0"/>
          <w:marRight w:val="0"/>
          <w:marTop w:val="0"/>
          <w:marBottom w:val="0"/>
          <w:divBdr>
            <w:top w:val="none" w:sz="0" w:space="0" w:color="auto"/>
            <w:left w:val="none" w:sz="0" w:space="0" w:color="auto"/>
            <w:bottom w:val="none" w:sz="0" w:space="0" w:color="auto"/>
            <w:right w:val="none" w:sz="0" w:space="0" w:color="auto"/>
          </w:divBdr>
          <w:divsChild>
            <w:div w:id="483859214">
              <w:marLeft w:val="0"/>
              <w:marRight w:val="0"/>
              <w:marTop w:val="0"/>
              <w:marBottom w:val="0"/>
              <w:divBdr>
                <w:top w:val="none" w:sz="0" w:space="0" w:color="auto"/>
                <w:left w:val="none" w:sz="0" w:space="0" w:color="auto"/>
                <w:bottom w:val="none" w:sz="0" w:space="0" w:color="auto"/>
                <w:right w:val="none" w:sz="0" w:space="0" w:color="auto"/>
              </w:divBdr>
              <w:divsChild>
                <w:div w:id="1656643885">
                  <w:marLeft w:val="0"/>
                  <w:marRight w:val="0"/>
                  <w:marTop w:val="0"/>
                  <w:marBottom w:val="0"/>
                  <w:divBdr>
                    <w:top w:val="none" w:sz="0" w:space="0" w:color="auto"/>
                    <w:left w:val="none" w:sz="0" w:space="0" w:color="auto"/>
                    <w:bottom w:val="none" w:sz="0" w:space="0" w:color="auto"/>
                    <w:right w:val="none" w:sz="0" w:space="0" w:color="auto"/>
                  </w:divBdr>
                  <w:divsChild>
                    <w:div w:id="211342676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603382">
      <w:bodyDiv w:val="1"/>
      <w:marLeft w:val="0"/>
      <w:marRight w:val="0"/>
      <w:marTop w:val="0"/>
      <w:marBottom w:val="0"/>
      <w:divBdr>
        <w:top w:val="none" w:sz="0" w:space="0" w:color="auto"/>
        <w:left w:val="none" w:sz="0" w:space="0" w:color="auto"/>
        <w:bottom w:val="none" w:sz="0" w:space="0" w:color="auto"/>
        <w:right w:val="none" w:sz="0" w:space="0" w:color="auto"/>
      </w:divBdr>
      <w:divsChild>
        <w:div w:id="1174489291">
          <w:marLeft w:val="0"/>
          <w:marRight w:val="0"/>
          <w:marTop w:val="0"/>
          <w:marBottom w:val="0"/>
          <w:divBdr>
            <w:top w:val="none" w:sz="0" w:space="0" w:color="auto"/>
            <w:left w:val="none" w:sz="0" w:space="0" w:color="auto"/>
            <w:bottom w:val="none" w:sz="0" w:space="0" w:color="auto"/>
            <w:right w:val="none" w:sz="0" w:space="0" w:color="auto"/>
          </w:divBdr>
          <w:divsChild>
            <w:div w:id="674112162">
              <w:marLeft w:val="0"/>
              <w:marRight w:val="0"/>
              <w:marTop w:val="0"/>
              <w:marBottom w:val="0"/>
              <w:divBdr>
                <w:top w:val="none" w:sz="0" w:space="0" w:color="auto"/>
                <w:left w:val="none" w:sz="0" w:space="0" w:color="auto"/>
                <w:bottom w:val="none" w:sz="0" w:space="0" w:color="auto"/>
                <w:right w:val="none" w:sz="0" w:space="0" w:color="auto"/>
              </w:divBdr>
              <w:divsChild>
                <w:div w:id="1520386133">
                  <w:marLeft w:val="0"/>
                  <w:marRight w:val="0"/>
                  <w:marTop w:val="0"/>
                  <w:marBottom w:val="0"/>
                  <w:divBdr>
                    <w:top w:val="none" w:sz="0" w:space="0" w:color="auto"/>
                    <w:left w:val="none" w:sz="0" w:space="0" w:color="auto"/>
                    <w:bottom w:val="none" w:sz="0" w:space="0" w:color="auto"/>
                    <w:right w:val="none" w:sz="0" w:space="0" w:color="auto"/>
                  </w:divBdr>
                  <w:divsChild>
                    <w:div w:id="44493166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328163">
      <w:bodyDiv w:val="1"/>
      <w:marLeft w:val="0"/>
      <w:marRight w:val="0"/>
      <w:marTop w:val="0"/>
      <w:marBottom w:val="0"/>
      <w:divBdr>
        <w:top w:val="none" w:sz="0" w:space="0" w:color="auto"/>
        <w:left w:val="none" w:sz="0" w:space="0" w:color="auto"/>
        <w:bottom w:val="none" w:sz="0" w:space="0" w:color="auto"/>
        <w:right w:val="none" w:sz="0" w:space="0" w:color="auto"/>
      </w:divBdr>
      <w:divsChild>
        <w:div w:id="1295329908">
          <w:marLeft w:val="0"/>
          <w:marRight w:val="0"/>
          <w:marTop w:val="0"/>
          <w:marBottom w:val="0"/>
          <w:divBdr>
            <w:top w:val="none" w:sz="0" w:space="0" w:color="auto"/>
            <w:left w:val="none" w:sz="0" w:space="0" w:color="auto"/>
            <w:bottom w:val="none" w:sz="0" w:space="0" w:color="auto"/>
            <w:right w:val="none" w:sz="0" w:space="0" w:color="auto"/>
          </w:divBdr>
          <w:divsChild>
            <w:div w:id="1108086043">
              <w:marLeft w:val="0"/>
              <w:marRight w:val="0"/>
              <w:marTop w:val="0"/>
              <w:marBottom w:val="0"/>
              <w:divBdr>
                <w:top w:val="none" w:sz="0" w:space="0" w:color="auto"/>
                <w:left w:val="none" w:sz="0" w:space="0" w:color="auto"/>
                <w:bottom w:val="none" w:sz="0" w:space="0" w:color="auto"/>
                <w:right w:val="none" w:sz="0" w:space="0" w:color="auto"/>
              </w:divBdr>
              <w:divsChild>
                <w:div w:id="1036739789">
                  <w:marLeft w:val="0"/>
                  <w:marRight w:val="0"/>
                  <w:marTop w:val="0"/>
                  <w:marBottom w:val="0"/>
                  <w:divBdr>
                    <w:top w:val="none" w:sz="0" w:space="0" w:color="auto"/>
                    <w:left w:val="none" w:sz="0" w:space="0" w:color="auto"/>
                    <w:bottom w:val="none" w:sz="0" w:space="0" w:color="auto"/>
                    <w:right w:val="none" w:sz="0" w:space="0" w:color="auto"/>
                  </w:divBdr>
                  <w:divsChild>
                    <w:div w:id="101799738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585561">
      <w:bodyDiv w:val="1"/>
      <w:marLeft w:val="0"/>
      <w:marRight w:val="0"/>
      <w:marTop w:val="0"/>
      <w:marBottom w:val="0"/>
      <w:divBdr>
        <w:top w:val="none" w:sz="0" w:space="0" w:color="auto"/>
        <w:left w:val="none" w:sz="0" w:space="0" w:color="auto"/>
        <w:bottom w:val="none" w:sz="0" w:space="0" w:color="auto"/>
        <w:right w:val="none" w:sz="0" w:space="0" w:color="auto"/>
      </w:divBdr>
      <w:divsChild>
        <w:div w:id="907421620">
          <w:marLeft w:val="0"/>
          <w:marRight w:val="0"/>
          <w:marTop w:val="0"/>
          <w:marBottom w:val="0"/>
          <w:divBdr>
            <w:top w:val="none" w:sz="0" w:space="0" w:color="auto"/>
            <w:left w:val="none" w:sz="0" w:space="0" w:color="auto"/>
            <w:bottom w:val="none" w:sz="0" w:space="0" w:color="auto"/>
            <w:right w:val="none" w:sz="0" w:space="0" w:color="auto"/>
          </w:divBdr>
          <w:divsChild>
            <w:div w:id="1030182899">
              <w:marLeft w:val="0"/>
              <w:marRight w:val="0"/>
              <w:marTop w:val="0"/>
              <w:marBottom w:val="0"/>
              <w:divBdr>
                <w:top w:val="none" w:sz="0" w:space="0" w:color="auto"/>
                <w:left w:val="none" w:sz="0" w:space="0" w:color="auto"/>
                <w:bottom w:val="none" w:sz="0" w:space="0" w:color="auto"/>
                <w:right w:val="none" w:sz="0" w:space="0" w:color="auto"/>
              </w:divBdr>
              <w:divsChild>
                <w:div w:id="745341510">
                  <w:marLeft w:val="0"/>
                  <w:marRight w:val="0"/>
                  <w:marTop w:val="0"/>
                  <w:marBottom w:val="0"/>
                  <w:divBdr>
                    <w:top w:val="none" w:sz="0" w:space="0" w:color="auto"/>
                    <w:left w:val="none" w:sz="0" w:space="0" w:color="auto"/>
                    <w:bottom w:val="none" w:sz="0" w:space="0" w:color="auto"/>
                    <w:right w:val="none" w:sz="0" w:space="0" w:color="auto"/>
                  </w:divBdr>
                  <w:divsChild>
                    <w:div w:id="132542965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824597">
      <w:bodyDiv w:val="1"/>
      <w:marLeft w:val="0"/>
      <w:marRight w:val="0"/>
      <w:marTop w:val="0"/>
      <w:marBottom w:val="0"/>
      <w:divBdr>
        <w:top w:val="none" w:sz="0" w:space="0" w:color="auto"/>
        <w:left w:val="none" w:sz="0" w:space="0" w:color="auto"/>
        <w:bottom w:val="none" w:sz="0" w:space="0" w:color="auto"/>
        <w:right w:val="none" w:sz="0" w:space="0" w:color="auto"/>
      </w:divBdr>
      <w:divsChild>
        <w:div w:id="1508205156">
          <w:marLeft w:val="0"/>
          <w:marRight w:val="0"/>
          <w:marTop w:val="0"/>
          <w:marBottom w:val="0"/>
          <w:divBdr>
            <w:top w:val="none" w:sz="0" w:space="0" w:color="auto"/>
            <w:left w:val="none" w:sz="0" w:space="0" w:color="auto"/>
            <w:bottom w:val="none" w:sz="0" w:space="0" w:color="auto"/>
            <w:right w:val="none" w:sz="0" w:space="0" w:color="auto"/>
          </w:divBdr>
          <w:divsChild>
            <w:div w:id="1801335967">
              <w:marLeft w:val="0"/>
              <w:marRight w:val="0"/>
              <w:marTop w:val="0"/>
              <w:marBottom w:val="0"/>
              <w:divBdr>
                <w:top w:val="none" w:sz="0" w:space="0" w:color="auto"/>
                <w:left w:val="none" w:sz="0" w:space="0" w:color="auto"/>
                <w:bottom w:val="none" w:sz="0" w:space="0" w:color="auto"/>
                <w:right w:val="none" w:sz="0" w:space="0" w:color="auto"/>
              </w:divBdr>
              <w:divsChild>
                <w:div w:id="609629254">
                  <w:marLeft w:val="0"/>
                  <w:marRight w:val="0"/>
                  <w:marTop w:val="0"/>
                  <w:marBottom w:val="0"/>
                  <w:divBdr>
                    <w:top w:val="none" w:sz="0" w:space="0" w:color="auto"/>
                    <w:left w:val="none" w:sz="0" w:space="0" w:color="auto"/>
                    <w:bottom w:val="none" w:sz="0" w:space="0" w:color="auto"/>
                    <w:right w:val="none" w:sz="0" w:space="0" w:color="auto"/>
                  </w:divBdr>
                  <w:divsChild>
                    <w:div w:id="101819558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399312">
      <w:bodyDiv w:val="1"/>
      <w:marLeft w:val="0"/>
      <w:marRight w:val="0"/>
      <w:marTop w:val="0"/>
      <w:marBottom w:val="0"/>
      <w:divBdr>
        <w:top w:val="none" w:sz="0" w:space="0" w:color="auto"/>
        <w:left w:val="none" w:sz="0" w:space="0" w:color="auto"/>
        <w:bottom w:val="none" w:sz="0" w:space="0" w:color="auto"/>
        <w:right w:val="none" w:sz="0" w:space="0" w:color="auto"/>
      </w:divBdr>
      <w:divsChild>
        <w:div w:id="118379574">
          <w:marLeft w:val="0"/>
          <w:marRight w:val="0"/>
          <w:marTop w:val="0"/>
          <w:marBottom w:val="0"/>
          <w:divBdr>
            <w:top w:val="none" w:sz="0" w:space="0" w:color="auto"/>
            <w:left w:val="none" w:sz="0" w:space="0" w:color="auto"/>
            <w:bottom w:val="none" w:sz="0" w:space="0" w:color="auto"/>
            <w:right w:val="none" w:sz="0" w:space="0" w:color="auto"/>
          </w:divBdr>
          <w:divsChild>
            <w:div w:id="563833373">
              <w:marLeft w:val="0"/>
              <w:marRight w:val="0"/>
              <w:marTop w:val="0"/>
              <w:marBottom w:val="0"/>
              <w:divBdr>
                <w:top w:val="none" w:sz="0" w:space="0" w:color="auto"/>
                <w:left w:val="none" w:sz="0" w:space="0" w:color="auto"/>
                <w:bottom w:val="none" w:sz="0" w:space="0" w:color="auto"/>
                <w:right w:val="none" w:sz="0" w:space="0" w:color="auto"/>
              </w:divBdr>
              <w:divsChild>
                <w:div w:id="888103990">
                  <w:marLeft w:val="0"/>
                  <w:marRight w:val="0"/>
                  <w:marTop w:val="0"/>
                  <w:marBottom w:val="0"/>
                  <w:divBdr>
                    <w:top w:val="none" w:sz="0" w:space="0" w:color="auto"/>
                    <w:left w:val="none" w:sz="0" w:space="0" w:color="auto"/>
                    <w:bottom w:val="none" w:sz="0" w:space="0" w:color="auto"/>
                    <w:right w:val="none" w:sz="0" w:space="0" w:color="auto"/>
                  </w:divBdr>
                  <w:divsChild>
                    <w:div w:id="162885582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563110">
      <w:bodyDiv w:val="1"/>
      <w:marLeft w:val="0"/>
      <w:marRight w:val="0"/>
      <w:marTop w:val="0"/>
      <w:marBottom w:val="0"/>
      <w:divBdr>
        <w:top w:val="none" w:sz="0" w:space="0" w:color="auto"/>
        <w:left w:val="none" w:sz="0" w:space="0" w:color="auto"/>
        <w:bottom w:val="none" w:sz="0" w:space="0" w:color="auto"/>
        <w:right w:val="none" w:sz="0" w:space="0" w:color="auto"/>
      </w:divBdr>
    </w:div>
    <w:div w:id="1407418191">
      <w:bodyDiv w:val="1"/>
      <w:marLeft w:val="0"/>
      <w:marRight w:val="0"/>
      <w:marTop w:val="0"/>
      <w:marBottom w:val="0"/>
      <w:divBdr>
        <w:top w:val="none" w:sz="0" w:space="0" w:color="auto"/>
        <w:left w:val="none" w:sz="0" w:space="0" w:color="auto"/>
        <w:bottom w:val="none" w:sz="0" w:space="0" w:color="auto"/>
        <w:right w:val="none" w:sz="0" w:space="0" w:color="auto"/>
      </w:divBdr>
    </w:div>
    <w:div w:id="1532575191">
      <w:bodyDiv w:val="1"/>
      <w:marLeft w:val="0"/>
      <w:marRight w:val="0"/>
      <w:marTop w:val="0"/>
      <w:marBottom w:val="0"/>
      <w:divBdr>
        <w:top w:val="none" w:sz="0" w:space="0" w:color="auto"/>
        <w:left w:val="none" w:sz="0" w:space="0" w:color="auto"/>
        <w:bottom w:val="none" w:sz="0" w:space="0" w:color="auto"/>
        <w:right w:val="none" w:sz="0" w:space="0" w:color="auto"/>
      </w:divBdr>
      <w:divsChild>
        <w:div w:id="825560504">
          <w:marLeft w:val="0"/>
          <w:marRight w:val="0"/>
          <w:marTop w:val="0"/>
          <w:marBottom w:val="0"/>
          <w:divBdr>
            <w:top w:val="none" w:sz="0" w:space="0" w:color="auto"/>
            <w:left w:val="none" w:sz="0" w:space="0" w:color="auto"/>
            <w:bottom w:val="none" w:sz="0" w:space="0" w:color="auto"/>
            <w:right w:val="none" w:sz="0" w:space="0" w:color="auto"/>
          </w:divBdr>
          <w:divsChild>
            <w:div w:id="318268911">
              <w:marLeft w:val="0"/>
              <w:marRight w:val="0"/>
              <w:marTop w:val="0"/>
              <w:marBottom w:val="0"/>
              <w:divBdr>
                <w:top w:val="none" w:sz="0" w:space="0" w:color="auto"/>
                <w:left w:val="none" w:sz="0" w:space="0" w:color="auto"/>
                <w:bottom w:val="none" w:sz="0" w:space="0" w:color="auto"/>
                <w:right w:val="none" w:sz="0" w:space="0" w:color="auto"/>
              </w:divBdr>
              <w:divsChild>
                <w:div w:id="2100177833">
                  <w:marLeft w:val="0"/>
                  <w:marRight w:val="0"/>
                  <w:marTop w:val="0"/>
                  <w:marBottom w:val="0"/>
                  <w:divBdr>
                    <w:top w:val="none" w:sz="0" w:space="0" w:color="auto"/>
                    <w:left w:val="none" w:sz="0" w:space="0" w:color="auto"/>
                    <w:bottom w:val="none" w:sz="0" w:space="0" w:color="auto"/>
                    <w:right w:val="none" w:sz="0" w:space="0" w:color="auto"/>
                  </w:divBdr>
                  <w:divsChild>
                    <w:div w:id="9117343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736897">
      <w:bodyDiv w:val="1"/>
      <w:marLeft w:val="0"/>
      <w:marRight w:val="0"/>
      <w:marTop w:val="0"/>
      <w:marBottom w:val="0"/>
      <w:divBdr>
        <w:top w:val="none" w:sz="0" w:space="0" w:color="auto"/>
        <w:left w:val="none" w:sz="0" w:space="0" w:color="auto"/>
        <w:bottom w:val="none" w:sz="0" w:space="0" w:color="auto"/>
        <w:right w:val="none" w:sz="0" w:space="0" w:color="auto"/>
      </w:divBdr>
      <w:divsChild>
        <w:div w:id="1438870061">
          <w:marLeft w:val="0"/>
          <w:marRight w:val="0"/>
          <w:marTop w:val="0"/>
          <w:marBottom w:val="0"/>
          <w:divBdr>
            <w:top w:val="none" w:sz="0" w:space="0" w:color="auto"/>
            <w:left w:val="none" w:sz="0" w:space="0" w:color="auto"/>
            <w:bottom w:val="none" w:sz="0" w:space="0" w:color="auto"/>
            <w:right w:val="none" w:sz="0" w:space="0" w:color="auto"/>
          </w:divBdr>
          <w:divsChild>
            <w:div w:id="1971324220">
              <w:marLeft w:val="0"/>
              <w:marRight w:val="0"/>
              <w:marTop w:val="0"/>
              <w:marBottom w:val="0"/>
              <w:divBdr>
                <w:top w:val="none" w:sz="0" w:space="0" w:color="auto"/>
                <w:left w:val="none" w:sz="0" w:space="0" w:color="auto"/>
                <w:bottom w:val="none" w:sz="0" w:space="0" w:color="auto"/>
                <w:right w:val="none" w:sz="0" w:space="0" w:color="auto"/>
              </w:divBdr>
              <w:divsChild>
                <w:div w:id="253054134">
                  <w:marLeft w:val="0"/>
                  <w:marRight w:val="0"/>
                  <w:marTop w:val="0"/>
                  <w:marBottom w:val="0"/>
                  <w:divBdr>
                    <w:top w:val="none" w:sz="0" w:space="0" w:color="auto"/>
                    <w:left w:val="none" w:sz="0" w:space="0" w:color="auto"/>
                    <w:bottom w:val="none" w:sz="0" w:space="0" w:color="auto"/>
                    <w:right w:val="none" w:sz="0" w:space="0" w:color="auto"/>
                  </w:divBdr>
                  <w:divsChild>
                    <w:div w:id="156856794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011514">
      <w:bodyDiv w:val="1"/>
      <w:marLeft w:val="0"/>
      <w:marRight w:val="0"/>
      <w:marTop w:val="0"/>
      <w:marBottom w:val="0"/>
      <w:divBdr>
        <w:top w:val="none" w:sz="0" w:space="0" w:color="auto"/>
        <w:left w:val="none" w:sz="0" w:space="0" w:color="auto"/>
        <w:bottom w:val="none" w:sz="0" w:space="0" w:color="auto"/>
        <w:right w:val="none" w:sz="0" w:space="0" w:color="auto"/>
      </w:divBdr>
    </w:div>
    <w:div w:id="2058312641">
      <w:bodyDiv w:val="1"/>
      <w:marLeft w:val="0"/>
      <w:marRight w:val="0"/>
      <w:marTop w:val="0"/>
      <w:marBottom w:val="0"/>
      <w:divBdr>
        <w:top w:val="none" w:sz="0" w:space="0" w:color="auto"/>
        <w:left w:val="none" w:sz="0" w:space="0" w:color="auto"/>
        <w:bottom w:val="none" w:sz="0" w:space="0" w:color="auto"/>
        <w:right w:val="none" w:sz="0" w:space="0" w:color="auto"/>
      </w:divBdr>
      <w:divsChild>
        <w:div w:id="197204083">
          <w:marLeft w:val="0"/>
          <w:marRight w:val="0"/>
          <w:marTop w:val="0"/>
          <w:marBottom w:val="0"/>
          <w:divBdr>
            <w:top w:val="none" w:sz="0" w:space="0" w:color="auto"/>
            <w:left w:val="none" w:sz="0" w:space="0" w:color="auto"/>
            <w:bottom w:val="none" w:sz="0" w:space="0" w:color="auto"/>
            <w:right w:val="none" w:sz="0" w:space="0" w:color="auto"/>
          </w:divBdr>
          <w:divsChild>
            <w:div w:id="79914772">
              <w:marLeft w:val="0"/>
              <w:marRight w:val="0"/>
              <w:marTop w:val="0"/>
              <w:marBottom w:val="0"/>
              <w:divBdr>
                <w:top w:val="none" w:sz="0" w:space="0" w:color="auto"/>
                <w:left w:val="none" w:sz="0" w:space="0" w:color="auto"/>
                <w:bottom w:val="none" w:sz="0" w:space="0" w:color="auto"/>
                <w:right w:val="none" w:sz="0" w:space="0" w:color="auto"/>
              </w:divBdr>
              <w:divsChild>
                <w:div w:id="1131052491">
                  <w:marLeft w:val="0"/>
                  <w:marRight w:val="0"/>
                  <w:marTop w:val="0"/>
                  <w:marBottom w:val="0"/>
                  <w:divBdr>
                    <w:top w:val="none" w:sz="0" w:space="0" w:color="auto"/>
                    <w:left w:val="none" w:sz="0" w:space="0" w:color="auto"/>
                    <w:bottom w:val="none" w:sz="0" w:space="0" w:color="auto"/>
                    <w:right w:val="none" w:sz="0" w:space="0" w:color="auto"/>
                  </w:divBdr>
                  <w:divsChild>
                    <w:div w:id="8657791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761661">
      <w:bodyDiv w:val="1"/>
      <w:marLeft w:val="0"/>
      <w:marRight w:val="0"/>
      <w:marTop w:val="0"/>
      <w:marBottom w:val="0"/>
      <w:divBdr>
        <w:top w:val="none" w:sz="0" w:space="0" w:color="auto"/>
        <w:left w:val="none" w:sz="0" w:space="0" w:color="auto"/>
        <w:bottom w:val="none" w:sz="0" w:space="0" w:color="auto"/>
        <w:right w:val="none" w:sz="0" w:space="0" w:color="auto"/>
      </w:divBdr>
      <w:divsChild>
        <w:div w:id="1369377399">
          <w:marLeft w:val="0"/>
          <w:marRight w:val="0"/>
          <w:marTop w:val="0"/>
          <w:marBottom w:val="0"/>
          <w:divBdr>
            <w:top w:val="none" w:sz="0" w:space="0" w:color="auto"/>
            <w:left w:val="none" w:sz="0" w:space="0" w:color="auto"/>
            <w:bottom w:val="none" w:sz="0" w:space="0" w:color="auto"/>
            <w:right w:val="none" w:sz="0" w:space="0" w:color="auto"/>
          </w:divBdr>
          <w:divsChild>
            <w:div w:id="635572601">
              <w:marLeft w:val="0"/>
              <w:marRight w:val="0"/>
              <w:marTop w:val="0"/>
              <w:marBottom w:val="0"/>
              <w:divBdr>
                <w:top w:val="none" w:sz="0" w:space="0" w:color="auto"/>
                <w:left w:val="none" w:sz="0" w:space="0" w:color="auto"/>
                <w:bottom w:val="none" w:sz="0" w:space="0" w:color="auto"/>
                <w:right w:val="none" w:sz="0" w:space="0" w:color="auto"/>
              </w:divBdr>
              <w:divsChild>
                <w:div w:id="1015231836">
                  <w:marLeft w:val="0"/>
                  <w:marRight w:val="0"/>
                  <w:marTop w:val="0"/>
                  <w:marBottom w:val="0"/>
                  <w:divBdr>
                    <w:top w:val="none" w:sz="0" w:space="0" w:color="auto"/>
                    <w:left w:val="none" w:sz="0" w:space="0" w:color="auto"/>
                    <w:bottom w:val="none" w:sz="0" w:space="0" w:color="auto"/>
                    <w:right w:val="none" w:sz="0" w:space="0" w:color="auto"/>
                  </w:divBdr>
                  <w:divsChild>
                    <w:div w:id="393745784">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8803">
      <w:bodyDiv w:val="1"/>
      <w:marLeft w:val="0"/>
      <w:marRight w:val="0"/>
      <w:marTop w:val="0"/>
      <w:marBottom w:val="0"/>
      <w:divBdr>
        <w:top w:val="none" w:sz="0" w:space="0" w:color="auto"/>
        <w:left w:val="none" w:sz="0" w:space="0" w:color="auto"/>
        <w:bottom w:val="none" w:sz="0" w:space="0" w:color="auto"/>
        <w:right w:val="none" w:sz="0" w:space="0" w:color="auto"/>
      </w:divBdr>
      <w:divsChild>
        <w:div w:id="1581914357">
          <w:marLeft w:val="0"/>
          <w:marRight w:val="0"/>
          <w:marTop w:val="0"/>
          <w:marBottom w:val="0"/>
          <w:divBdr>
            <w:top w:val="none" w:sz="0" w:space="0" w:color="auto"/>
            <w:left w:val="none" w:sz="0" w:space="0" w:color="auto"/>
            <w:bottom w:val="none" w:sz="0" w:space="0" w:color="auto"/>
            <w:right w:val="none" w:sz="0" w:space="0" w:color="auto"/>
          </w:divBdr>
          <w:divsChild>
            <w:div w:id="18555925">
              <w:marLeft w:val="0"/>
              <w:marRight w:val="0"/>
              <w:marTop w:val="0"/>
              <w:marBottom w:val="0"/>
              <w:divBdr>
                <w:top w:val="none" w:sz="0" w:space="0" w:color="auto"/>
                <w:left w:val="none" w:sz="0" w:space="0" w:color="auto"/>
                <w:bottom w:val="none" w:sz="0" w:space="0" w:color="auto"/>
                <w:right w:val="none" w:sz="0" w:space="0" w:color="auto"/>
              </w:divBdr>
              <w:divsChild>
                <w:div w:id="539707457">
                  <w:marLeft w:val="0"/>
                  <w:marRight w:val="0"/>
                  <w:marTop w:val="0"/>
                  <w:marBottom w:val="0"/>
                  <w:divBdr>
                    <w:top w:val="none" w:sz="0" w:space="0" w:color="auto"/>
                    <w:left w:val="none" w:sz="0" w:space="0" w:color="auto"/>
                    <w:bottom w:val="none" w:sz="0" w:space="0" w:color="auto"/>
                    <w:right w:val="none" w:sz="0" w:space="0" w:color="auto"/>
                  </w:divBdr>
                  <w:divsChild>
                    <w:div w:id="718628638">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8881</Words>
  <Characters>50627</Characters>
  <Application>Microsoft Office Word</Application>
  <DocSecurity>4</DocSecurity>
  <Lines>421</Lines>
  <Paragraphs>118</Paragraphs>
  <ScaleCrop>false</ScaleCrop>
  <HeadingPairs>
    <vt:vector size="2" baseType="variant">
      <vt:variant>
        <vt:lpstr>Title</vt:lpstr>
      </vt:variant>
      <vt:variant>
        <vt:i4>1</vt:i4>
      </vt:variant>
    </vt:vector>
  </HeadingPairs>
  <TitlesOfParts>
    <vt:vector size="1" baseType="lpstr">
      <vt:lpstr>CASE LAW, EMERGING ISSUES, LITIGATION, AND PRACTICAL SOLUTIONS AFTER BAPCPA</vt:lpstr>
    </vt:vector>
  </TitlesOfParts>
  <Company/>
  <LinksUpToDate>false</LinksUpToDate>
  <CharactersWithSpaces>59390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LAW, EMERGING ISSUES, LITIGATION, AND PRACTICAL SOLUTIONS AFTER BAPCPA</dc:title>
  <dc:subject/>
  <dc:creator/>
  <cp:keywords/>
  <dc:description/>
  <cp:lastModifiedBy/>
  <cp:revision>1</cp:revision>
  <cp:lastPrinted>2009-05-07T15:14:00Z</cp:lastPrinted>
  <dcterms:created xsi:type="dcterms:W3CDTF">2010-07-21T18:28:00Z</dcterms:created>
  <dcterms:modified xsi:type="dcterms:W3CDTF">2010-07-21T18:28:00Z</dcterms:modified>
</cp:coreProperties>
</file>